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269A6" w14:textId="77777777" w:rsidR="00FD29E7" w:rsidRDefault="00FD29E7">
      <w:pPr>
        <w:jc w:val="center"/>
        <w:rPr>
          <w:rFonts w:ascii="宋体" w:eastAsia="宋体" w:hAnsi="宋体"/>
          <w:b/>
          <w:bCs/>
          <w:sz w:val="43"/>
          <w:szCs w:val="43"/>
        </w:rPr>
      </w:pPr>
    </w:p>
    <w:p w14:paraId="2A299018" w14:textId="01DDA720" w:rsidR="00FD29E7" w:rsidRDefault="00FE05CA">
      <w:pPr>
        <w:jc w:val="center"/>
        <w:rPr>
          <w:rFonts w:ascii="宋体" w:eastAsia="宋体" w:hAnsi="宋体"/>
          <w:b/>
          <w:bCs/>
          <w:sz w:val="43"/>
          <w:szCs w:val="43"/>
        </w:rPr>
      </w:pPr>
      <w:r>
        <w:rPr>
          <w:rFonts w:ascii="宋体" w:eastAsia="宋体" w:hAnsi="宋体" w:hint="eastAsia"/>
          <w:b/>
          <w:bCs/>
          <w:sz w:val="43"/>
          <w:szCs w:val="43"/>
        </w:rPr>
        <w:t>课程资源库建设和管理办法</w:t>
      </w:r>
    </w:p>
    <w:p w14:paraId="446107BB" w14:textId="77777777" w:rsidR="00F459F3" w:rsidRDefault="00F459F3">
      <w:pPr>
        <w:jc w:val="center"/>
        <w:rPr>
          <w:rFonts w:ascii="黑体" w:eastAsia="黑体" w:hAnsi="黑体" w:hint="eastAsia"/>
          <w:sz w:val="32"/>
          <w:szCs w:val="32"/>
        </w:rPr>
      </w:pPr>
    </w:p>
    <w:p w14:paraId="2389EBFF" w14:textId="77777777" w:rsidR="00FD29E7" w:rsidRDefault="00FE05CA">
      <w:pPr>
        <w:jc w:val="center"/>
        <w:rPr>
          <w:rFonts w:ascii="黑体" w:eastAsia="黑体" w:hAnsi="黑体"/>
          <w:sz w:val="32"/>
          <w:szCs w:val="32"/>
        </w:rPr>
      </w:pPr>
      <w:bookmarkStart w:id="0" w:name="_GoBack"/>
      <w:bookmarkEnd w:id="0"/>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总则</w:t>
      </w:r>
    </w:p>
    <w:p w14:paraId="0E5DED30" w14:textId="77777777" w:rsidR="00F459F3" w:rsidRDefault="00F459F3">
      <w:pPr>
        <w:spacing w:line="560" w:lineRule="exact"/>
        <w:ind w:firstLineChars="200" w:firstLine="640"/>
        <w:rPr>
          <w:rFonts w:ascii="仿宋" w:eastAsia="仿宋" w:hAnsi="仿宋" w:hint="eastAsia"/>
          <w:sz w:val="32"/>
          <w:szCs w:val="32"/>
        </w:rPr>
      </w:pPr>
    </w:p>
    <w:p w14:paraId="0005805D"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依据《教育部关于国家精品开放课程建设的实施意见》与《教育部办公厅关于印发〈精品资源共享课建设工作实施办法〉的通知》精神，为强化我校优质课程资源建设，推动教育教学理念革新，引领教学内容与教学方法改革，借助现代信息技术实现优质课程教学资源共建共享，提升人才培养质量，服务学习型社会构建，结合学校实际，制定本管理办法。</w:t>
      </w:r>
    </w:p>
    <w:p w14:paraId="2B93B9CD"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课程资源库以我校开设的公共基础课、专业技能课为核心，以课程资源系统完备、教学资源丰富多样、适配网络传播为基本要求，计划通过</w:t>
      </w:r>
      <w:r>
        <w:rPr>
          <w:rFonts w:ascii="仿宋" w:eastAsia="仿宋" w:hAnsi="仿宋" w:hint="eastAsia"/>
          <w:sz w:val="32"/>
          <w:szCs w:val="32"/>
        </w:rPr>
        <w:t xml:space="preserve"> 3-5 </w:t>
      </w:r>
      <w:r>
        <w:rPr>
          <w:rFonts w:ascii="仿宋" w:eastAsia="仿宋" w:hAnsi="仿宋" w:hint="eastAsia"/>
          <w:sz w:val="32"/>
          <w:szCs w:val="32"/>
        </w:rPr>
        <w:t>年建设，构建多层次、多类型的优质课程教学资源共建共享体系，为我校师生、各类培训人员及社会学习者提供优质课程教学资源。</w:t>
      </w:r>
    </w:p>
    <w:p w14:paraId="2F662840"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本办法适用于我校课程资源库建设、数字化教学资源建设、在线课程建设及相关管理活动。</w:t>
      </w:r>
    </w:p>
    <w:p w14:paraId="178FA9B6"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课程资源库建设管理遵循统一规划、资源共建、共享实用的原则，杜绝重复建设与资源浪费。</w:t>
      </w:r>
    </w:p>
    <w:p w14:paraId="454B37E2" w14:textId="77777777" w:rsidR="00FD29E7" w:rsidRDefault="00FE05CA">
      <w:pPr>
        <w:spacing w:line="560" w:lineRule="exact"/>
        <w:jc w:val="center"/>
        <w:rPr>
          <w:rFonts w:ascii="黑体" w:eastAsia="黑体" w:hAnsi="黑体"/>
          <w:sz w:val="31"/>
          <w:szCs w:val="31"/>
        </w:rPr>
      </w:pPr>
      <w:r>
        <w:rPr>
          <w:rFonts w:ascii="黑体" w:eastAsia="黑体" w:hAnsi="黑体" w:hint="eastAsia"/>
          <w:sz w:val="31"/>
          <w:szCs w:val="31"/>
        </w:rPr>
        <w:t>第二章</w:t>
      </w:r>
      <w:r>
        <w:rPr>
          <w:rFonts w:ascii="黑体" w:eastAsia="黑体" w:hAnsi="黑体" w:hint="eastAsia"/>
          <w:sz w:val="31"/>
          <w:szCs w:val="31"/>
        </w:rPr>
        <w:t xml:space="preserve"> </w:t>
      </w:r>
      <w:r>
        <w:rPr>
          <w:rFonts w:ascii="黑体" w:eastAsia="黑体" w:hAnsi="黑体" w:hint="eastAsia"/>
          <w:sz w:val="31"/>
          <w:szCs w:val="31"/>
        </w:rPr>
        <w:t>建设总体要求</w:t>
      </w:r>
    </w:p>
    <w:p w14:paraId="375D7D52"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教学内容与资源。课程资源库需围绕课程定位和人才培养</w:t>
      </w:r>
      <w:r>
        <w:rPr>
          <w:rFonts w:ascii="仿宋" w:eastAsia="仿宋" w:hAnsi="仿宋" w:hint="eastAsia"/>
          <w:sz w:val="32"/>
          <w:szCs w:val="32"/>
        </w:rPr>
        <w:t>目标，结合预设教学目标、学科特点、学生认知</w:t>
      </w:r>
      <w:r>
        <w:rPr>
          <w:rFonts w:ascii="仿宋" w:eastAsia="仿宋" w:hAnsi="仿宋" w:hint="eastAsia"/>
          <w:sz w:val="32"/>
          <w:szCs w:val="32"/>
        </w:rPr>
        <w:lastRenderedPageBreak/>
        <w:t>规律及教学方式，围绕学科核心概念及教学内容与资源间的关联，碎片化组织教学内容及资源、创设教学情境，形成围绕知识点展开、知识框架清晰的短视频模块集。每个短视频时长以</w:t>
      </w:r>
      <w:r>
        <w:rPr>
          <w:rFonts w:ascii="仿宋" w:eastAsia="仿宋" w:hAnsi="仿宋" w:hint="eastAsia"/>
          <w:sz w:val="32"/>
          <w:szCs w:val="32"/>
        </w:rPr>
        <w:t xml:space="preserve"> 5-15 </w:t>
      </w:r>
      <w:r>
        <w:rPr>
          <w:rFonts w:ascii="仿宋" w:eastAsia="仿宋" w:hAnsi="仿宋" w:hint="eastAsia"/>
          <w:sz w:val="32"/>
          <w:szCs w:val="32"/>
        </w:rPr>
        <w:t>分钟为宜，针对各模块知识点或专题需设置内嵌测试的作业题或讨论题，助力学习者掌握学习内容、检测学习效果。每门课程需包含负责人介绍、课程介绍、课程标准、预备知识、教学辅导、参考资料、考核方式、在线作业、在线题库及在线答疑等内容，且课程设置需符合我校课堂教学要求。</w:t>
      </w:r>
    </w:p>
    <w:p w14:paraId="46D156F3"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教学设计与方法。教学设计是课</w:t>
      </w:r>
      <w:r>
        <w:rPr>
          <w:rFonts w:ascii="仿宋" w:eastAsia="仿宋" w:hAnsi="仿宋" w:hint="eastAsia"/>
          <w:sz w:val="32"/>
          <w:szCs w:val="32"/>
        </w:rPr>
        <w:t>程建设的关键环节，需遵循有效教学基本规律，结合在线开放课程教学的特征与需求进行整体设计。围绕教学目标精心规划教学活动，科学布局在线学习资源，明确学业评价策略与学习激励措施。课程设计、教学安排及呈现方式需满足学习者移动学习和混合式教学的需求，开展在线学习与课堂教学结合、翻转课堂等多种课堂教学模式，优先支持具备混合式学习等改革实践经验的课程。</w:t>
      </w:r>
    </w:p>
    <w:p w14:paraId="6B2E81C5"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教学活动与评价。重视学习任务与活动设计，积极推行案例式、混合式、探究式等多种教学模式，通过网页插入式在线测试、即时网上辅导反馈、线上线下讨论、网上作业提交与批改、</w:t>
      </w:r>
      <w:r>
        <w:rPr>
          <w:rFonts w:ascii="仿宋" w:eastAsia="仿宋" w:hAnsi="仿宋" w:hint="eastAsia"/>
          <w:sz w:val="32"/>
          <w:szCs w:val="32"/>
        </w:rPr>
        <w:t>网上社区讨论等形式，促进师生间、学生间的资源共享、问题交流与协作学习。构建多元化学习评价体系，探索线上线下融合、过程性评价与终结性评价相结合的多元化考核评价模式，推动学生自主性学习、过程性学</w:t>
      </w:r>
      <w:r>
        <w:rPr>
          <w:rFonts w:ascii="仿宋" w:eastAsia="仿宋" w:hAnsi="仿宋" w:hint="eastAsia"/>
          <w:sz w:val="32"/>
          <w:szCs w:val="32"/>
        </w:rPr>
        <w:lastRenderedPageBreak/>
        <w:t>习与体验式学习，课程成绩由过程性考核和终结性考核综合评定。</w:t>
      </w:r>
    </w:p>
    <w:p w14:paraId="5E9E4F66"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教学效果与影响。注重教学效果跟踪评价与教学研究工作，依托大数据信息采集分析，全程记录并跟踪教师教学与学生学习的过程、内容及反馈，全面掌握每位学生的个性特点与学习行为，改进学校及教师教学质量，实现因材施教。</w:t>
      </w:r>
    </w:p>
    <w:p w14:paraId="649999D8"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hint="eastAsia"/>
          <w:sz w:val="32"/>
          <w:szCs w:val="32"/>
        </w:rPr>
        <w:t>团队支持与服务。课程建设负责人需为具备丰</w:t>
      </w:r>
      <w:r>
        <w:rPr>
          <w:rFonts w:ascii="仿宋" w:eastAsia="仿宋" w:hAnsi="仿宋" w:hint="eastAsia"/>
          <w:sz w:val="32"/>
          <w:szCs w:val="32"/>
        </w:rPr>
        <w:t>富教学经验与较高学术造诣的教师，且需完成不少于</w:t>
      </w:r>
      <w:r>
        <w:rPr>
          <w:rFonts w:ascii="仿宋" w:eastAsia="仿宋" w:hAnsi="仿宋" w:hint="eastAsia"/>
          <w:sz w:val="32"/>
          <w:szCs w:val="32"/>
        </w:rPr>
        <w:t xml:space="preserve"> 1 </w:t>
      </w:r>
      <w:r>
        <w:rPr>
          <w:rFonts w:ascii="仿宋" w:eastAsia="仿宋" w:hAnsi="仿宋" w:hint="eastAsia"/>
          <w:sz w:val="32"/>
          <w:szCs w:val="32"/>
        </w:rPr>
        <w:t>门国家级精品在线开放课程的线上学习并取得学分；课程组成员均需长期在教学一线承担本课程教学任务，鼓励吸纳课程领域内具有较高学术造诣、教学水平及工程实践能力的教学名师、知名专家、行业及企业人员参与课程资源库建设。</w:t>
      </w:r>
    </w:p>
    <w:p w14:paraId="444F8130"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课程团队需负责课程相关教师的培训与教学研讨工作，通过课程资源库建设，打造一支教学、辅导、设计与技术支持结构合理、人员稳定、教学水平高、教学效果好、资源设计与制作能力强的优秀课程教学团队。</w:t>
      </w:r>
    </w:p>
    <w:p w14:paraId="38A9BB8B"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信息安全及知识产权保障。严格遵守国家网络与信息安全管理</w:t>
      </w:r>
      <w:r>
        <w:rPr>
          <w:rFonts w:ascii="仿宋" w:eastAsia="仿宋" w:hAnsi="仿宋" w:hint="eastAsia"/>
          <w:sz w:val="32"/>
          <w:szCs w:val="32"/>
        </w:rPr>
        <w:t>规范，依法依规开展教学活动，对课程内容、讨论内容、学习过程内容实施有效监管，防范并及时制止网络有害信息传播。</w:t>
      </w:r>
    </w:p>
    <w:p w14:paraId="08A81DF1" w14:textId="77777777" w:rsidR="00FD29E7" w:rsidRDefault="00FE05CA">
      <w:pPr>
        <w:spacing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申报与验收</w:t>
      </w:r>
    </w:p>
    <w:p w14:paraId="1D3E17CC"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申报条件</w:t>
      </w:r>
    </w:p>
    <w:p w14:paraId="778C2D64"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（一）课程资源库建设原则上需以我校开设的优势突出、</w:t>
      </w:r>
      <w:r>
        <w:rPr>
          <w:rFonts w:ascii="仿宋" w:eastAsia="仿宋" w:hAnsi="仿宋" w:hint="eastAsia"/>
          <w:sz w:val="32"/>
          <w:szCs w:val="32"/>
        </w:rPr>
        <w:lastRenderedPageBreak/>
        <w:t>学生评价良好、受益面广的课程为基础；</w:t>
      </w:r>
    </w:p>
    <w:p w14:paraId="217EDC8F"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（二）课程资源库需由教学经验丰富、教学特色鲜明、教学效果优良，且具备中级及以上专业技术职称的教师主持建设，课程建设团队结构合理；</w:t>
      </w:r>
    </w:p>
    <w:p w14:paraId="1D3CEA8E"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（三）申报建设的课程资源需涵盖课程概述、考核要求、课程标准、教学日历、教学视频、课堂讨论、教学辅导、在线答疑、测验作业、在线题库及教学资料等内容</w:t>
      </w:r>
      <w:r>
        <w:rPr>
          <w:rFonts w:ascii="仿宋" w:eastAsia="仿宋" w:hAnsi="仿宋" w:hint="eastAsia"/>
          <w:sz w:val="32"/>
          <w:szCs w:val="32"/>
        </w:rPr>
        <w:t>。</w:t>
      </w:r>
    </w:p>
    <w:p w14:paraId="6355C951"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课程资源库建设采用项目制，分为自由申报和自主建设两种方式。</w:t>
      </w:r>
    </w:p>
    <w:p w14:paraId="34C71814"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自由申报课程。包含项目立项、项目建设与项目验收等环节，学校不定期组织课程资源库建设项目申报，教务科组织专家评审确定立项项目。</w:t>
      </w:r>
    </w:p>
    <w:p w14:paraId="058BEFF7"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立项建设课程自学校文件批准之日起，建设期为一年（含上线运行一个周期）。若逾期未完成建设，课程负责人可提出申请，经教务科审批后可延长半年建设期。课程相关资源需适合网络公开，且不得侵犯第三方知识产权，课程视频总数每学分不少于</w:t>
      </w:r>
      <w:r>
        <w:rPr>
          <w:rFonts w:ascii="仿宋" w:eastAsia="仿宋" w:hAnsi="仿宋" w:hint="eastAsia"/>
          <w:sz w:val="32"/>
          <w:szCs w:val="32"/>
        </w:rPr>
        <w:t xml:space="preserve"> 300 </w:t>
      </w:r>
      <w:r>
        <w:rPr>
          <w:rFonts w:ascii="仿宋" w:eastAsia="仿宋" w:hAnsi="仿宋" w:hint="eastAsia"/>
          <w:sz w:val="32"/>
          <w:szCs w:val="32"/>
        </w:rPr>
        <w:t>分钟。</w:t>
      </w:r>
    </w:p>
    <w:p w14:paraId="279FA651"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立项半年后，教务科将组织人员对项目建设情况进</w:t>
      </w:r>
      <w:r>
        <w:rPr>
          <w:rFonts w:ascii="仿宋" w:eastAsia="仿宋" w:hAnsi="仿宋" w:hint="eastAsia"/>
          <w:sz w:val="32"/>
          <w:szCs w:val="32"/>
        </w:rPr>
        <w:t>行中期检查；对于建设进度缓慢的项目，需分析原因并提出改进措施。</w:t>
      </w:r>
    </w:p>
    <w:p w14:paraId="53683226"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课程资源库项目验收由教务科组织实施，验收内容包括课程项目资源、学生使用评价、教师自评等。</w:t>
      </w:r>
    </w:p>
    <w:p w14:paraId="73CC359F"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课程项目验收结果分为验收合格、延期验收、验收不合格三个等级。</w:t>
      </w:r>
    </w:p>
    <w:p w14:paraId="17BC716C"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第十八条</w:t>
      </w:r>
      <w:r>
        <w:rPr>
          <w:rFonts w:ascii="仿宋" w:eastAsia="仿宋" w:hAnsi="仿宋" w:hint="eastAsia"/>
          <w:sz w:val="32"/>
          <w:szCs w:val="32"/>
        </w:rPr>
        <w:t xml:space="preserve"> </w:t>
      </w:r>
      <w:r>
        <w:rPr>
          <w:rFonts w:ascii="仿宋" w:eastAsia="仿宋" w:hAnsi="仿宋" w:hint="eastAsia"/>
          <w:sz w:val="32"/>
          <w:szCs w:val="32"/>
        </w:rPr>
        <w:t>课程资源建设齐全、更新维护及时、课程使用效果好、评价高的项目，验收等级定为“验收合格”；课程资源建设齐全且按教学日历执行，但使用效果不佳的项目，验收等级定为“延期验收”；未按要求建设课程资源或未投入运行的项目，验收等级定为“验收不合格”。</w:t>
      </w:r>
    </w:p>
    <w:p w14:paraId="3F952D42"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验收等级为“延期验收”的课程，可继续运行</w:t>
      </w:r>
      <w:r>
        <w:rPr>
          <w:rFonts w:ascii="仿宋" w:eastAsia="仿宋" w:hAnsi="仿宋" w:hint="eastAsia"/>
          <w:sz w:val="32"/>
          <w:szCs w:val="32"/>
        </w:rPr>
        <w:t xml:space="preserve"> 1 </w:t>
      </w:r>
      <w:r>
        <w:rPr>
          <w:rFonts w:ascii="仿宋" w:eastAsia="仿宋" w:hAnsi="仿宋" w:hint="eastAsia"/>
          <w:sz w:val="32"/>
          <w:szCs w:val="32"/>
        </w:rPr>
        <w:t>年后重新申请验收；验收等级为“验收不合格”的课程，终止课程建设与资助，自验收结果确定之日起</w:t>
      </w:r>
      <w:r>
        <w:rPr>
          <w:rFonts w:ascii="仿宋" w:eastAsia="仿宋" w:hAnsi="仿宋" w:hint="eastAsia"/>
          <w:sz w:val="32"/>
          <w:szCs w:val="32"/>
        </w:rPr>
        <w:t xml:space="preserve"> 3 </w:t>
      </w:r>
      <w:r>
        <w:rPr>
          <w:rFonts w:ascii="仿宋" w:eastAsia="仿宋" w:hAnsi="仿宋" w:hint="eastAsia"/>
          <w:sz w:val="32"/>
          <w:szCs w:val="32"/>
        </w:rPr>
        <w:t>年内，取消课程负责人申报课程资源库建设项目及教改项目等其他教学项目的资格。</w:t>
      </w:r>
    </w:p>
    <w:p w14:paraId="11F993D1"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自主建设课程。各专业及教师依据课程建设标准自主建设课程资源库，建设完成后由教务处组织专家评审认定。</w:t>
      </w:r>
    </w:p>
    <w:p w14:paraId="77EFA5DA" w14:textId="77777777" w:rsidR="00FD29E7" w:rsidRDefault="00FE05CA">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课程应用与评价</w:t>
      </w:r>
    </w:p>
    <w:p w14:paraId="3B40CB0F"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第二十一条</w:t>
      </w:r>
      <w:r>
        <w:rPr>
          <w:rFonts w:ascii="仿宋" w:eastAsia="仿宋" w:hAnsi="仿宋" w:hint="eastAsia"/>
          <w:sz w:val="32"/>
          <w:szCs w:val="32"/>
        </w:rPr>
        <w:t xml:space="preserve"> </w:t>
      </w:r>
      <w:r>
        <w:rPr>
          <w:rFonts w:ascii="仿宋" w:eastAsia="仿宋" w:hAnsi="仿宋" w:hint="eastAsia"/>
          <w:sz w:val="32"/>
          <w:szCs w:val="32"/>
        </w:rPr>
        <w:t>鼓励教师结合实体课堂，面向本校学生开展线上线下混合式教学实践，或借助在线开放课程平台，为校内外所有学生开展线上教学实践。</w:t>
      </w:r>
    </w:p>
    <w:p w14:paraId="727D3330"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开展混合式教学实践时，需合理设置线上线下学时分配比例与考核方式，线下学时原则上不少于课程总学时的</w:t>
      </w:r>
      <w:r>
        <w:rPr>
          <w:rFonts w:ascii="仿宋" w:eastAsia="仿宋" w:hAnsi="仿宋" w:hint="eastAsia"/>
          <w:sz w:val="32"/>
          <w:szCs w:val="32"/>
        </w:rPr>
        <w:t xml:space="preserve"> 1/3</w:t>
      </w:r>
      <w:r>
        <w:rPr>
          <w:rFonts w:ascii="仿宋" w:eastAsia="仿宋" w:hAnsi="仿宋" w:hint="eastAsia"/>
          <w:sz w:val="32"/>
          <w:szCs w:val="32"/>
        </w:rPr>
        <w:t>。同一专业的同一门课程，针对不同班级实施混合式教学时，课程考核的卷面考试试卷必须一致。</w:t>
      </w:r>
    </w:p>
    <w:p w14:paraId="73979019"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第二十三条</w:t>
      </w:r>
      <w:r>
        <w:rPr>
          <w:rFonts w:ascii="仿宋" w:eastAsia="仿宋" w:hAnsi="仿宋" w:hint="eastAsia"/>
          <w:sz w:val="32"/>
          <w:szCs w:val="32"/>
        </w:rPr>
        <w:t xml:space="preserve"> </w:t>
      </w:r>
      <w:r>
        <w:rPr>
          <w:rFonts w:ascii="仿宋" w:eastAsia="仿宋" w:hAnsi="仿宋" w:hint="eastAsia"/>
          <w:sz w:val="32"/>
          <w:szCs w:val="32"/>
        </w:rPr>
        <w:t>教学督导人员需在开课期间，对课程设计、教学情况、学生学习成果、教师及助教参与论坛答疑等教辅活动进行中期调查与反馈，协助教师持续改进教学。</w:t>
      </w:r>
    </w:p>
    <w:p w14:paraId="77586F79"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第二十四条</w:t>
      </w:r>
      <w:r>
        <w:rPr>
          <w:rFonts w:ascii="仿宋" w:eastAsia="仿宋" w:hAnsi="仿宋" w:hint="eastAsia"/>
          <w:sz w:val="32"/>
          <w:szCs w:val="32"/>
        </w:rPr>
        <w:t xml:space="preserve"> </w:t>
      </w:r>
      <w:r>
        <w:rPr>
          <w:rFonts w:ascii="仿宋" w:eastAsia="仿宋" w:hAnsi="仿宋" w:hint="eastAsia"/>
          <w:sz w:val="32"/>
          <w:szCs w:val="32"/>
        </w:rPr>
        <w:t>学校制定课程资源库教学质量与教学效果评价标准，并将其纳入教学质量综合评价系统。连续两轮综合评价结果未达到良好及以上等级的课程，暂停该门课程基于混合式教学模式的</w:t>
      </w:r>
      <w:r>
        <w:rPr>
          <w:rFonts w:ascii="仿宋" w:eastAsia="仿宋" w:hAnsi="仿宋" w:hint="eastAsia"/>
          <w:sz w:val="32"/>
          <w:szCs w:val="32"/>
        </w:rPr>
        <w:t>开课资格，主讲教师参加培训后，可重新开展混合式教学。</w:t>
      </w:r>
    </w:p>
    <w:p w14:paraId="44AE3C8E"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第二十五条</w:t>
      </w:r>
      <w:r>
        <w:rPr>
          <w:rFonts w:ascii="仿宋" w:eastAsia="仿宋" w:hAnsi="仿宋" w:hint="eastAsia"/>
          <w:sz w:val="32"/>
          <w:szCs w:val="32"/>
        </w:rPr>
        <w:t xml:space="preserve"> </w:t>
      </w:r>
      <w:r>
        <w:rPr>
          <w:rFonts w:ascii="仿宋" w:eastAsia="仿宋" w:hAnsi="仿宋" w:hint="eastAsia"/>
          <w:sz w:val="32"/>
          <w:szCs w:val="32"/>
        </w:rPr>
        <w:t>鼓励教师利用在线开放课程开设重修课程，采用学生在线学习为主、教师线上线下答疑为辅的授课模式，学生经考核通过后予以成绩认定。</w:t>
      </w:r>
    </w:p>
    <w:p w14:paraId="3C28DBCF"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第二十六条</w:t>
      </w:r>
      <w:r>
        <w:rPr>
          <w:rFonts w:ascii="仿宋" w:eastAsia="仿宋" w:hAnsi="仿宋" w:hint="eastAsia"/>
          <w:sz w:val="32"/>
          <w:szCs w:val="32"/>
        </w:rPr>
        <w:t xml:space="preserve"> </w:t>
      </w:r>
      <w:r>
        <w:rPr>
          <w:rFonts w:ascii="仿宋" w:eastAsia="仿宋" w:hAnsi="仿宋" w:hint="eastAsia"/>
          <w:sz w:val="32"/>
          <w:szCs w:val="32"/>
        </w:rPr>
        <w:t>鼓励教师择优引进反映学科发展前沿、具备先进教育理念与教育经验的优质课程资源库，经学校审核同意并报教务科备案后，开展线上线下混合式教学。</w:t>
      </w:r>
    </w:p>
    <w:p w14:paraId="1BBEA07A" w14:textId="77777777" w:rsidR="00FD29E7" w:rsidRDefault="00FE05CA">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支持与保障</w:t>
      </w:r>
    </w:p>
    <w:p w14:paraId="0AE7D640"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第二十七条</w:t>
      </w:r>
      <w:r>
        <w:rPr>
          <w:rFonts w:ascii="仿宋" w:eastAsia="仿宋" w:hAnsi="仿宋" w:hint="eastAsia"/>
          <w:sz w:val="32"/>
          <w:szCs w:val="32"/>
        </w:rPr>
        <w:t xml:space="preserve"> </w:t>
      </w:r>
      <w:r>
        <w:rPr>
          <w:rFonts w:ascii="仿宋" w:eastAsia="仿宋" w:hAnsi="仿宋" w:hint="eastAsia"/>
          <w:sz w:val="32"/>
          <w:szCs w:val="32"/>
        </w:rPr>
        <w:t>学校每年划拨课程资源库建设与维护专项资金，主要用于教师自主开发课程资源的奖励、专家评审费用，以及教学资源库运行所需硬件设施的维护维修等。</w:t>
      </w:r>
    </w:p>
    <w:p w14:paraId="740A1FFA"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w:t>
      </w:r>
      <w:r>
        <w:rPr>
          <w:rFonts w:ascii="仿宋" w:eastAsia="仿宋" w:hAnsi="仿宋" w:hint="eastAsia"/>
          <w:sz w:val="32"/>
          <w:szCs w:val="32"/>
        </w:rPr>
        <w:t>十八条</w:t>
      </w:r>
      <w:r>
        <w:rPr>
          <w:rFonts w:ascii="仿宋" w:eastAsia="仿宋" w:hAnsi="仿宋" w:hint="eastAsia"/>
          <w:sz w:val="32"/>
          <w:szCs w:val="32"/>
        </w:rPr>
        <w:t xml:space="preserve"> </w:t>
      </w:r>
      <w:r>
        <w:rPr>
          <w:rFonts w:ascii="仿宋" w:eastAsia="仿宋" w:hAnsi="仿宋" w:hint="eastAsia"/>
          <w:sz w:val="32"/>
          <w:szCs w:val="32"/>
        </w:rPr>
        <w:t>各教学部组建本专业课程资源库建设团队，负责本教学部课程资源库建设及相关管理工作。学校鼓励教师参与课程资源库建设，并提供必要支持，有计划、有步骤地提升各专业课程资源库建设水平。课程资源库建设与应用的数量和质量，将作为专业教学工作考评的依据。</w:t>
      </w:r>
    </w:p>
    <w:p w14:paraId="5920307C"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第二十九条</w:t>
      </w:r>
      <w:r>
        <w:rPr>
          <w:rFonts w:ascii="仿宋" w:eastAsia="仿宋" w:hAnsi="仿宋" w:hint="eastAsia"/>
          <w:sz w:val="32"/>
          <w:szCs w:val="32"/>
        </w:rPr>
        <w:t xml:space="preserve"> </w:t>
      </w:r>
      <w:r>
        <w:rPr>
          <w:rFonts w:ascii="仿宋" w:eastAsia="仿宋" w:hAnsi="仿宋" w:hint="eastAsia"/>
          <w:sz w:val="32"/>
          <w:szCs w:val="32"/>
        </w:rPr>
        <w:t>各教学部经费支持的精品课程、网络课程及相关素材，须纳入课程资源库，经教务科审核后，方可办理报销手续。</w:t>
      </w:r>
    </w:p>
    <w:p w14:paraId="7B9D8B76"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第三十条</w:t>
      </w:r>
      <w:r>
        <w:rPr>
          <w:rFonts w:ascii="仿宋" w:eastAsia="仿宋" w:hAnsi="仿宋" w:hint="eastAsia"/>
          <w:sz w:val="32"/>
          <w:szCs w:val="32"/>
        </w:rPr>
        <w:t xml:space="preserve"> </w:t>
      </w:r>
      <w:r>
        <w:rPr>
          <w:rFonts w:ascii="仿宋" w:eastAsia="仿宋" w:hAnsi="仿宋" w:hint="eastAsia"/>
          <w:sz w:val="32"/>
          <w:szCs w:val="32"/>
        </w:rPr>
        <w:t>国家级精品在线开放课程按国家级优秀教学</w:t>
      </w:r>
      <w:r>
        <w:rPr>
          <w:rFonts w:ascii="仿宋" w:eastAsia="仿宋" w:hAnsi="仿宋" w:hint="eastAsia"/>
          <w:sz w:val="32"/>
          <w:szCs w:val="32"/>
        </w:rPr>
        <w:lastRenderedPageBreak/>
        <w:t>成果三等奖、省级精品在线开放课程按省级优秀教学成果三等奖认定为科研成果，并给予相应奖励。</w:t>
      </w:r>
    </w:p>
    <w:p w14:paraId="5D6F3B7D"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第三十一条</w:t>
      </w:r>
      <w:r>
        <w:rPr>
          <w:rFonts w:ascii="仿宋" w:eastAsia="仿宋" w:hAnsi="仿宋" w:hint="eastAsia"/>
          <w:sz w:val="32"/>
          <w:szCs w:val="32"/>
        </w:rPr>
        <w:t xml:space="preserve"> </w:t>
      </w:r>
      <w:r>
        <w:rPr>
          <w:rFonts w:ascii="仿宋" w:eastAsia="仿宋" w:hAnsi="仿宋" w:hint="eastAsia"/>
          <w:sz w:val="32"/>
          <w:szCs w:val="32"/>
        </w:rPr>
        <w:t>教务科每年度汇总各专业课程资源建设团队的奖励情况并进行公示，经教学指导委员会审核后实施奖励，奖金从教学资源库建设维护专项资金中列支。</w:t>
      </w:r>
    </w:p>
    <w:p w14:paraId="676264B9"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第三十二条</w:t>
      </w:r>
      <w:r>
        <w:rPr>
          <w:rFonts w:ascii="仿宋" w:eastAsia="仿宋" w:hAnsi="仿宋" w:hint="eastAsia"/>
          <w:sz w:val="32"/>
          <w:szCs w:val="32"/>
        </w:rPr>
        <w:t xml:space="preserve"> </w:t>
      </w:r>
      <w:r>
        <w:rPr>
          <w:rFonts w:ascii="仿宋" w:eastAsia="仿宋" w:hAnsi="仿宋" w:hint="eastAsia"/>
          <w:sz w:val="32"/>
          <w:szCs w:val="32"/>
        </w:rPr>
        <w:t>技能培训科安排专人负责课程资源库维护工作，包括数据备份、数据库备份、安全管理等，确保课程资源库正常运行。</w:t>
      </w:r>
    </w:p>
    <w:p w14:paraId="4BEA60A3" w14:textId="77777777" w:rsidR="00FD29E7" w:rsidRDefault="00FE05CA">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附则</w:t>
      </w:r>
    </w:p>
    <w:p w14:paraId="57B489DC"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第三十三条</w:t>
      </w:r>
      <w:r>
        <w:rPr>
          <w:rFonts w:ascii="仿宋" w:eastAsia="仿宋" w:hAnsi="仿宋" w:hint="eastAsia"/>
          <w:sz w:val="32"/>
          <w:szCs w:val="32"/>
        </w:rPr>
        <w:t xml:space="preserve"> </w:t>
      </w:r>
      <w:r>
        <w:rPr>
          <w:rFonts w:ascii="仿宋" w:eastAsia="仿宋" w:hAnsi="仿宋" w:hint="eastAsia"/>
          <w:sz w:val="32"/>
          <w:szCs w:val="32"/>
        </w:rPr>
        <w:t>课程资源库是学校支持下的教师岗位工作成果，其知识产权归学校所有，凡在校内开展的教学活动均享有使用权。</w:t>
      </w:r>
    </w:p>
    <w:p w14:paraId="00538BBB"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第三十四条</w:t>
      </w:r>
      <w:r>
        <w:rPr>
          <w:rFonts w:ascii="仿宋" w:eastAsia="仿宋" w:hAnsi="仿宋" w:hint="eastAsia"/>
          <w:sz w:val="32"/>
          <w:szCs w:val="32"/>
        </w:rPr>
        <w:t xml:space="preserve"> </w:t>
      </w:r>
      <w:r>
        <w:rPr>
          <w:rFonts w:ascii="仿宋" w:eastAsia="仿宋" w:hAnsi="仿宋" w:hint="eastAsia"/>
          <w:sz w:val="32"/>
          <w:szCs w:val="32"/>
        </w:rPr>
        <w:t>本办法由教务科负责解释。</w:t>
      </w:r>
    </w:p>
    <w:p w14:paraId="61D917B4" w14:textId="77777777" w:rsidR="00FD29E7" w:rsidRDefault="00FE05CA">
      <w:pPr>
        <w:spacing w:line="560" w:lineRule="exact"/>
        <w:ind w:firstLineChars="200" w:firstLine="640"/>
        <w:rPr>
          <w:rFonts w:ascii="仿宋" w:eastAsia="仿宋" w:hAnsi="仿宋"/>
          <w:sz w:val="32"/>
          <w:szCs w:val="32"/>
        </w:rPr>
      </w:pPr>
      <w:r>
        <w:rPr>
          <w:rFonts w:ascii="仿宋" w:eastAsia="仿宋" w:hAnsi="仿宋" w:hint="eastAsia"/>
          <w:sz w:val="32"/>
          <w:szCs w:val="32"/>
        </w:rPr>
        <w:t>第三十五条</w:t>
      </w:r>
      <w:r>
        <w:rPr>
          <w:rFonts w:ascii="仿宋" w:eastAsia="仿宋" w:hAnsi="仿宋" w:hint="eastAsia"/>
          <w:sz w:val="32"/>
          <w:szCs w:val="32"/>
        </w:rPr>
        <w:t xml:space="preserve"> </w:t>
      </w:r>
      <w:r>
        <w:rPr>
          <w:rFonts w:ascii="仿宋" w:eastAsia="仿宋" w:hAnsi="仿宋" w:hint="eastAsia"/>
          <w:sz w:val="32"/>
          <w:szCs w:val="32"/>
        </w:rPr>
        <w:t>本办法自发文之日起施行，其他与本办法不一致的规定，按照本办法执行。</w:t>
      </w:r>
    </w:p>
    <w:p w14:paraId="207F4915" w14:textId="77777777" w:rsidR="00FD29E7" w:rsidRDefault="00FE05CA">
      <w:pPr>
        <w:widowControl/>
        <w:jc w:val="left"/>
        <w:rPr>
          <w:rFonts w:ascii="仿宋" w:eastAsia="仿宋" w:hAnsi="仿宋"/>
          <w:sz w:val="32"/>
          <w:szCs w:val="32"/>
        </w:rPr>
      </w:pPr>
      <w:r>
        <w:rPr>
          <w:rFonts w:ascii="仿宋" w:eastAsia="仿宋" w:hAnsi="仿宋" w:hint="eastAsia"/>
          <w:sz w:val="32"/>
          <w:szCs w:val="32"/>
        </w:rPr>
        <w:br w:type="page"/>
      </w:r>
    </w:p>
    <w:p w14:paraId="72FF143F" w14:textId="77777777" w:rsidR="00FD29E7" w:rsidRDefault="00FE05CA">
      <w:pPr>
        <w:spacing w:line="228" w:lineRule="auto"/>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 xml:space="preserve"> 1</w:t>
      </w:r>
      <w:r>
        <w:rPr>
          <w:rFonts w:ascii="仿宋" w:eastAsia="仿宋" w:hAnsi="仿宋" w:hint="eastAsia"/>
          <w:sz w:val="32"/>
          <w:szCs w:val="32"/>
        </w:rPr>
        <w:t>：</w:t>
      </w:r>
      <w:r>
        <w:rPr>
          <w:rFonts w:ascii="仿宋" w:eastAsia="仿宋" w:hAnsi="仿宋" w:hint="eastAsia"/>
          <w:sz w:val="32"/>
          <w:szCs w:val="32"/>
        </w:rPr>
        <w:t>泊头市职业技术教育中心课程资源库建设任务书</w:t>
      </w:r>
    </w:p>
    <w:p w14:paraId="3A7A84C6" w14:textId="77777777" w:rsidR="00FD29E7" w:rsidRDefault="00FE05CA">
      <w:pPr>
        <w:spacing w:line="228" w:lineRule="auto"/>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 xml:space="preserve"> 2</w:t>
      </w:r>
      <w:r>
        <w:rPr>
          <w:rFonts w:ascii="仿宋" w:eastAsia="仿宋" w:hAnsi="仿宋" w:hint="eastAsia"/>
          <w:sz w:val="32"/>
          <w:szCs w:val="32"/>
        </w:rPr>
        <w:t>：泊头市职业技术教育中心教学资源库建设评审标准（评分指标及内涵）</w:t>
      </w:r>
    </w:p>
    <w:p w14:paraId="4AFA53DD" w14:textId="77777777" w:rsidR="00FD29E7" w:rsidRDefault="00FE05CA">
      <w:pPr>
        <w:widowControl/>
        <w:jc w:val="left"/>
        <w:rPr>
          <w:rFonts w:ascii="仿宋" w:eastAsia="仿宋" w:hAnsi="仿宋"/>
          <w:sz w:val="32"/>
          <w:szCs w:val="32"/>
        </w:rPr>
      </w:pPr>
      <w:r>
        <w:rPr>
          <w:rFonts w:ascii="仿宋" w:eastAsia="仿宋" w:hAnsi="仿宋" w:hint="eastAsia"/>
          <w:sz w:val="32"/>
          <w:szCs w:val="32"/>
        </w:rPr>
        <w:br w:type="page"/>
      </w:r>
    </w:p>
    <w:p w14:paraId="48EBC91D" w14:textId="77777777" w:rsidR="00FD29E7" w:rsidRDefault="00FE05CA">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 xml:space="preserve"> 1</w:t>
      </w:r>
      <w:r>
        <w:rPr>
          <w:rFonts w:ascii="黑体" w:eastAsia="黑体" w:hAnsi="黑体" w:hint="eastAsia"/>
          <w:sz w:val="32"/>
          <w:szCs w:val="32"/>
        </w:rPr>
        <w:t>：</w:t>
      </w:r>
    </w:p>
    <w:p w14:paraId="020E1A56" w14:textId="77777777" w:rsidR="00FD29E7" w:rsidRDefault="00FE05CA">
      <w:pPr>
        <w:jc w:val="center"/>
        <w:rPr>
          <w:rFonts w:ascii="黑体" w:eastAsia="黑体" w:hAnsi="黑体"/>
          <w:sz w:val="32"/>
          <w:szCs w:val="32"/>
        </w:rPr>
      </w:pPr>
      <w:r>
        <w:rPr>
          <w:rFonts w:ascii="黑体" w:eastAsia="黑体" w:hAnsi="黑体" w:hint="eastAsia"/>
          <w:sz w:val="32"/>
          <w:szCs w:val="32"/>
        </w:rPr>
        <w:t>泊头市职业技术教育中心课程资源库建设任务书</w:t>
      </w:r>
    </w:p>
    <w:p w14:paraId="5BE78157" w14:textId="77777777" w:rsidR="00FD29E7" w:rsidRDefault="00FD29E7">
      <w:pPr>
        <w:jc w:val="center"/>
        <w:rPr>
          <w:rFonts w:ascii="黑体" w:eastAsia="黑体" w:hAnsi="黑体"/>
          <w:sz w:val="32"/>
          <w:szCs w:val="32"/>
        </w:rPr>
      </w:pPr>
    </w:p>
    <w:p w14:paraId="6C9CDE68" w14:textId="77777777" w:rsidR="00FD29E7" w:rsidRDefault="00FE05CA">
      <w:pPr>
        <w:rPr>
          <w:rFonts w:ascii="黑体" w:eastAsia="黑体" w:hAnsi="黑体"/>
          <w:sz w:val="28"/>
          <w:szCs w:val="28"/>
        </w:rPr>
      </w:pPr>
      <w:r>
        <w:rPr>
          <w:rFonts w:ascii="黑体" w:eastAsia="黑体" w:hAnsi="黑体" w:hint="eastAsia"/>
          <w:sz w:val="28"/>
          <w:szCs w:val="28"/>
        </w:rPr>
        <w:t>一、任务基本情况</w:t>
      </w:r>
    </w:p>
    <w:p w14:paraId="5DACD4CB"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本团队课程资源库建设任务为：在指定平台完成</w:t>
      </w:r>
      <w:r>
        <w:rPr>
          <w:rFonts w:ascii="仿宋" w:eastAsia="仿宋" w:hAnsi="仿宋" w:hint="eastAsia"/>
          <w:sz w:val="28"/>
          <w:szCs w:val="28"/>
        </w:rPr>
        <w:t xml:space="preserve"> [</w:t>
      </w:r>
      <w:r>
        <w:rPr>
          <w:rFonts w:ascii="仿宋" w:eastAsia="仿宋" w:hAnsi="仿宋" w:hint="eastAsia"/>
          <w:sz w:val="28"/>
          <w:szCs w:val="28"/>
        </w:rPr>
        <w:t>课程名称</w:t>
      </w:r>
      <w:r>
        <w:rPr>
          <w:rFonts w:ascii="仿宋" w:eastAsia="仿宋" w:hAnsi="仿宋" w:hint="eastAsia"/>
          <w:sz w:val="28"/>
          <w:szCs w:val="28"/>
        </w:rPr>
        <w:t xml:space="preserve">] </w:t>
      </w:r>
      <w:r>
        <w:rPr>
          <w:rFonts w:ascii="仿宋" w:eastAsia="仿宋" w:hAnsi="仿宋" w:hint="eastAsia"/>
          <w:sz w:val="28"/>
          <w:szCs w:val="28"/>
        </w:rPr>
        <w:t>课程资源库的建设。本门课程为</w:t>
      </w:r>
      <w:r>
        <w:rPr>
          <w:rFonts w:ascii="仿宋" w:eastAsia="仿宋" w:hAnsi="仿宋" w:hint="eastAsia"/>
          <w:sz w:val="28"/>
          <w:szCs w:val="28"/>
        </w:rPr>
        <w:t>[</w:t>
      </w:r>
      <w:r>
        <w:rPr>
          <w:rFonts w:ascii="仿宋" w:eastAsia="仿宋" w:hAnsi="仿宋" w:hint="eastAsia"/>
          <w:sz w:val="28"/>
          <w:szCs w:val="28"/>
        </w:rPr>
        <w:t>教学部</w:t>
      </w:r>
      <w:r>
        <w:rPr>
          <w:rFonts w:ascii="仿宋" w:eastAsia="仿宋" w:hAnsi="仿宋" w:hint="eastAsia"/>
          <w:sz w:val="28"/>
          <w:szCs w:val="28"/>
        </w:rPr>
        <w:t>][</w:t>
      </w:r>
      <w:r>
        <w:rPr>
          <w:rFonts w:ascii="仿宋" w:eastAsia="仿宋" w:hAnsi="仿宋" w:hint="eastAsia"/>
          <w:sz w:val="28"/>
          <w:szCs w:val="28"/>
        </w:rPr>
        <w:t>专业</w:t>
      </w:r>
      <w:r>
        <w:rPr>
          <w:rFonts w:ascii="仿宋" w:eastAsia="仿宋" w:hAnsi="仿宋" w:hint="eastAsia"/>
          <w:sz w:val="28"/>
          <w:szCs w:val="28"/>
        </w:rPr>
        <w:t>]</w:t>
      </w:r>
      <w:r>
        <w:rPr>
          <w:rFonts w:ascii="仿宋" w:eastAsia="仿宋" w:hAnsi="仿宋" w:hint="eastAsia"/>
          <w:sz w:val="28"/>
          <w:szCs w:val="28"/>
        </w:rPr>
        <w:t>的</w:t>
      </w:r>
      <w:r>
        <w:rPr>
          <w:rFonts w:ascii="仿宋" w:eastAsia="仿宋" w:hAnsi="仿宋" w:hint="eastAsia"/>
          <w:sz w:val="28"/>
          <w:szCs w:val="28"/>
        </w:rPr>
        <w:t>[</w:t>
      </w:r>
      <w:r>
        <w:rPr>
          <w:rFonts w:ascii="仿宋" w:eastAsia="仿宋" w:hAnsi="仿宋" w:hint="eastAsia"/>
          <w:sz w:val="28"/>
          <w:szCs w:val="28"/>
        </w:rPr>
        <w:t>课程性质</w:t>
      </w:r>
      <w:r>
        <w:rPr>
          <w:rFonts w:ascii="仿宋" w:eastAsia="仿宋" w:hAnsi="仿宋" w:hint="eastAsia"/>
          <w:sz w:val="28"/>
          <w:szCs w:val="28"/>
        </w:rPr>
        <w:t>]</w:t>
      </w:r>
      <w:r>
        <w:rPr>
          <w:rFonts w:ascii="仿宋" w:eastAsia="仿宋" w:hAnsi="仿宋" w:hint="eastAsia"/>
          <w:sz w:val="28"/>
          <w:szCs w:val="28"/>
        </w:rPr>
        <w:t>课程，总课时为</w:t>
      </w:r>
      <w:r>
        <w:rPr>
          <w:rFonts w:ascii="仿宋" w:eastAsia="仿宋" w:hAnsi="仿宋" w:hint="eastAsia"/>
          <w:sz w:val="28"/>
          <w:szCs w:val="28"/>
        </w:rPr>
        <w:t>[X]</w:t>
      </w:r>
      <w:r>
        <w:rPr>
          <w:rFonts w:ascii="仿宋" w:eastAsia="仿宋" w:hAnsi="仿宋" w:hint="eastAsia"/>
          <w:sz w:val="28"/>
          <w:szCs w:val="28"/>
        </w:rPr>
        <w:t>课时。</w:t>
      </w:r>
    </w:p>
    <w:p w14:paraId="0D59050B" w14:textId="77777777" w:rsidR="00FD29E7" w:rsidRDefault="00FE05CA">
      <w:pPr>
        <w:rPr>
          <w:rFonts w:ascii="黑体" w:eastAsia="黑体" w:hAnsi="黑体"/>
          <w:sz w:val="28"/>
          <w:szCs w:val="28"/>
        </w:rPr>
      </w:pPr>
      <w:r>
        <w:rPr>
          <w:rFonts w:ascii="黑体" w:eastAsia="黑体" w:hAnsi="黑体" w:hint="eastAsia"/>
          <w:sz w:val="28"/>
          <w:szCs w:val="28"/>
        </w:rPr>
        <w:t>二、课程资源库建设内容</w:t>
      </w:r>
    </w:p>
    <w:p w14:paraId="52D78AE4"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课程简介、团队简介</w:t>
      </w:r>
    </w:p>
    <w:p w14:paraId="68D98F46"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专业人才培养方案、课程标准</w:t>
      </w:r>
    </w:p>
    <w:p w14:paraId="3B06812B"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教学计划</w:t>
      </w:r>
    </w:p>
    <w:p w14:paraId="01BC2F2E"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课程资源</w:t>
      </w:r>
    </w:p>
    <w:p w14:paraId="7FB0EDB1"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）教学设计：每</w:t>
      </w:r>
      <w:r>
        <w:rPr>
          <w:rFonts w:ascii="仿宋" w:eastAsia="仿宋" w:hAnsi="仿宋" w:hint="eastAsia"/>
          <w:sz w:val="28"/>
          <w:szCs w:val="28"/>
        </w:rPr>
        <w:t>2</w:t>
      </w:r>
      <w:r>
        <w:rPr>
          <w:rFonts w:ascii="仿宋" w:eastAsia="仿宋" w:hAnsi="仿宋" w:hint="eastAsia"/>
          <w:sz w:val="28"/>
          <w:szCs w:val="28"/>
        </w:rPr>
        <w:t>课时</w:t>
      </w:r>
      <w:r>
        <w:rPr>
          <w:rFonts w:ascii="仿宋" w:eastAsia="仿宋" w:hAnsi="仿宋" w:hint="eastAsia"/>
          <w:sz w:val="28"/>
          <w:szCs w:val="28"/>
        </w:rPr>
        <w:t xml:space="preserve"> 1</w:t>
      </w:r>
      <w:r>
        <w:rPr>
          <w:rFonts w:ascii="仿宋" w:eastAsia="仿宋" w:hAnsi="仿宋" w:hint="eastAsia"/>
          <w:sz w:val="28"/>
          <w:szCs w:val="28"/>
        </w:rPr>
        <w:t>个，实训课每个设计不超过</w:t>
      </w:r>
      <w:r>
        <w:rPr>
          <w:rFonts w:ascii="仿宋" w:eastAsia="仿宋" w:hAnsi="仿宋" w:hint="eastAsia"/>
          <w:sz w:val="28"/>
          <w:szCs w:val="28"/>
        </w:rPr>
        <w:t xml:space="preserve"> 4 </w:t>
      </w:r>
      <w:r>
        <w:rPr>
          <w:rFonts w:ascii="仿宋" w:eastAsia="仿宋" w:hAnsi="仿宋" w:hint="eastAsia"/>
          <w:sz w:val="28"/>
          <w:szCs w:val="28"/>
        </w:rPr>
        <w:t>课时，本课程共</w:t>
      </w:r>
      <w:r>
        <w:rPr>
          <w:rFonts w:ascii="仿宋" w:eastAsia="仿宋" w:hAnsi="仿宋" w:hint="eastAsia"/>
          <w:sz w:val="28"/>
          <w:szCs w:val="28"/>
        </w:rPr>
        <w:t>[X]</w:t>
      </w:r>
      <w:r>
        <w:rPr>
          <w:rFonts w:ascii="仿宋" w:eastAsia="仿宋" w:hAnsi="仿宋" w:hint="eastAsia"/>
          <w:sz w:val="28"/>
          <w:szCs w:val="28"/>
        </w:rPr>
        <w:t>个。</w:t>
      </w:r>
    </w:p>
    <w:p w14:paraId="15C31811"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）课件：每个教学设计配套</w:t>
      </w:r>
      <w:r>
        <w:rPr>
          <w:rFonts w:ascii="仿宋" w:eastAsia="仿宋" w:hAnsi="仿宋" w:hint="eastAsia"/>
          <w:sz w:val="28"/>
          <w:szCs w:val="28"/>
        </w:rPr>
        <w:t>1</w:t>
      </w:r>
      <w:r>
        <w:rPr>
          <w:rFonts w:ascii="仿宋" w:eastAsia="仿宋" w:hAnsi="仿宋" w:hint="eastAsia"/>
          <w:sz w:val="28"/>
          <w:szCs w:val="28"/>
        </w:rPr>
        <w:t>个</w:t>
      </w:r>
      <w:r>
        <w:rPr>
          <w:rFonts w:ascii="仿宋" w:eastAsia="仿宋" w:hAnsi="仿宋" w:hint="eastAsia"/>
          <w:sz w:val="28"/>
          <w:szCs w:val="28"/>
        </w:rPr>
        <w:t>PPT</w:t>
      </w:r>
      <w:r>
        <w:rPr>
          <w:rFonts w:ascii="仿宋" w:eastAsia="仿宋" w:hAnsi="仿宋" w:hint="eastAsia"/>
          <w:sz w:val="28"/>
          <w:szCs w:val="28"/>
        </w:rPr>
        <w:t>，风格统一，本课程共</w:t>
      </w:r>
      <w:r>
        <w:rPr>
          <w:rFonts w:ascii="仿宋" w:eastAsia="仿宋" w:hAnsi="仿宋" w:hint="eastAsia"/>
          <w:sz w:val="28"/>
          <w:szCs w:val="28"/>
        </w:rPr>
        <w:t>[X]</w:t>
      </w:r>
      <w:r>
        <w:rPr>
          <w:rFonts w:ascii="仿宋" w:eastAsia="仿宋" w:hAnsi="仿宋" w:hint="eastAsia"/>
          <w:sz w:val="28"/>
          <w:szCs w:val="28"/>
        </w:rPr>
        <w:t>个。</w:t>
      </w:r>
    </w:p>
    <w:p w14:paraId="3F6121C1"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）微课：每个重要知识点、技能点制作</w:t>
      </w:r>
      <w:r>
        <w:rPr>
          <w:rFonts w:ascii="仿宋" w:eastAsia="仿宋" w:hAnsi="仿宋" w:hint="eastAsia"/>
          <w:sz w:val="28"/>
          <w:szCs w:val="28"/>
        </w:rPr>
        <w:t>1</w:t>
      </w:r>
      <w:r>
        <w:rPr>
          <w:rFonts w:ascii="仿宋" w:eastAsia="仿宋" w:hAnsi="仿宋" w:hint="eastAsia"/>
          <w:sz w:val="28"/>
          <w:szCs w:val="28"/>
        </w:rPr>
        <w:t>个微课，微课数量不少于</w:t>
      </w:r>
      <w:r>
        <w:rPr>
          <w:rFonts w:ascii="仿宋" w:eastAsia="仿宋" w:hAnsi="仿宋" w:hint="eastAsia"/>
          <w:sz w:val="28"/>
          <w:szCs w:val="28"/>
        </w:rPr>
        <w:t>1</w:t>
      </w:r>
      <w:r>
        <w:rPr>
          <w:rFonts w:ascii="仿宋" w:eastAsia="仿宋" w:hAnsi="仿宋" w:hint="eastAsia"/>
          <w:sz w:val="28"/>
          <w:szCs w:val="28"/>
        </w:rPr>
        <w:t>个</w:t>
      </w:r>
      <w:r>
        <w:rPr>
          <w:rFonts w:ascii="仿宋" w:eastAsia="仿宋" w:hAnsi="仿宋" w:hint="eastAsia"/>
          <w:sz w:val="28"/>
          <w:szCs w:val="28"/>
        </w:rPr>
        <w:t xml:space="preserve"> / 4</w:t>
      </w:r>
      <w:r>
        <w:rPr>
          <w:rFonts w:ascii="仿宋" w:eastAsia="仿宋" w:hAnsi="仿宋" w:hint="eastAsia"/>
          <w:sz w:val="28"/>
          <w:szCs w:val="28"/>
        </w:rPr>
        <w:t>课时，本课程共</w:t>
      </w:r>
      <w:r>
        <w:rPr>
          <w:rFonts w:ascii="仿宋" w:eastAsia="仿宋" w:hAnsi="仿宋" w:hint="eastAsia"/>
          <w:sz w:val="28"/>
          <w:szCs w:val="28"/>
        </w:rPr>
        <w:t>[X]</w:t>
      </w:r>
      <w:r>
        <w:rPr>
          <w:rFonts w:ascii="仿宋" w:eastAsia="仿宋" w:hAnsi="仿宋" w:hint="eastAsia"/>
          <w:sz w:val="28"/>
          <w:szCs w:val="28"/>
        </w:rPr>
        <w:t>个。</w:t>
      </w:r>
    </w:p>
    <w:p w14:paraId="118280FA"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）教学案例、音视频、动画等教学资源：数量不少于</w:t>
      </w:r>
      <w:r>
        <w:rPr>
          <w:rFonts w:ascii="仿宋" w:eastAsia="仿宋" w:hAnsi="仿宋" w:hint="eastAsia"/>
          <w:sz w:val="28"/>
          <w:szCs w:val="28"/>
        </w:rPr>
        <w:t xml:space="preserve"> 1</w:t>
      </w:r>
      <w:r>
        <w:rPr>
          <w:rFonts w:ascii="仿宋" w:eastAsia="仿宋" w:hAnsi="仿宋" w:hint="eastAsia"/>
          <w:sz w:val="28"/>
          <w:szCs w:val="28"/>
        </w:rPr>
        <w:t>个</w:t>
      </w:r>
      <w:r>
        <w:rPr>
          <w:rFonts w:ascii="仿宋" w:eastAsia="仿宋" w:hAnsi="仿宋" w:hint="eastAsia"/>
          <w:sz w:val="28"/>
          <w:szCs w:val="28"/>
        </w:rPr>
        <w:t xml:space="preserve"> / 4</w:t>
      </w:r>
      <w:r>
        <w:rPr>
          <w:rFonts w:ascii="仿宋" w:eastAsia="仿宋" w:hAnsi="仿宋" w:hint="eastAsia"/>
          <w:sz w:val="28"/>
          <w:szCs w:val="28"/>
        </w:rPr>
        <w:t>课时，本课程共</w:t>
      </w:r>
      <w:r>
        <w:rPr>
          <w:rFonts w:ascii="仿宋" w:eastAsia="仿宋" w:hAnsi="仿宋" w:hint="eastAsia"/>
          <w:sz w:val="28"/>
          <w:szCs w:val="28"/>
        </w:rPr>
        <w:t>[X]</w:t>
      </w:r>
      <w:r>
        <w:rPr>
          <w:rFonts w:ascii="仿宋" w:eastAsia="仿宋" w:hAnsi="仿宋" w:hint="eastAsia"/>
          <w:sz w:val="28"/>
          <w:szCs w:val="28"/>
        </w:rPr>
        <w:t>个。</w:t>
      </w:r>
    </w:p>
    <w:p w14:paraId="00BC652C"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）课后作业：每个教学设计后均需配套课后作业，每个章节（项目、任务）设置</w:t>
      </w:r>
      <w:r>
        <w:rPr>
          <w:rFonts w:ascii="仿宋" w:eastAsia="仿宋" w:hAnsi="仿宋" w:hint="eastAsia"/>
          <w:sz w:val="28"/>
          <w:szCs w:val="28"/>
        </w:rPr>
        <w:t>1</w:t>
      </w:r>
      <w:r>
        <w:rPr>
          <w:rFonts w:ascii="仿宋" w:eastAsia="仿宋" w:hAnsi="仿宋" w:hint="eastAsia"/>
          <w:sz w:val="28"/>
          <w:szCs w:val="28"/>
        </w:rPr>
        <w:t>个综合测试，作业数量与教学设计数量一致，作业题型不少于</w:t>
      </w:r>
      <w:r>
        <w:rPr>
          <w:rFonts w:ascii="仿宋" w:eastAsia="仿宋" w:hAnsi="仿宋" w:hint="eastAsia"/>
          <w:sz w:val="28"/>
          <w:szCs w:val="28"/>
        </w:rPr>
        <w:t>4</w:t>
      </w:r>
      <w:r>
        <w:rPr>
          <w:rFonts w:ascii="仿宋" w:eastAsia="仿宋" w:hAnsi="仿宋" w:hint="eastAsia"/>
          <w:sz w:val="28"/>
          <w:szCs w:val="28"/>
        </w:rPr>
        <w:t>种，每个教学设计的课后习题数量不少于</w:t>
      </w:r>
      <w:r>
        <w:rPr>
          <w:rFonts w:ascii="仿宋" w:eastAsia="仿宋" w:hAnsi="仿宋" w:hint="eastAsia"/>
          <w:sz w:val="28"/>
          <w:szCs w:val="28"/>
        </w:rPr>
        <w:t>10</w:t>
      </w:r>
      <w:r>
        <w:rPr>
          <w:rFonts w:ascii="仿宋" w:eastAsia="仿宋" w:hAnsi="仿宋" w:hint="eastAsia"/>
          <w:sz w:val="28"/>
          <w:szCs w:val="28"/>
        </w:rPr>
        <w:t>个，本课程拟设计题型</w:t>
      </w:r>
      <w:r>
        <w:rPr>
          <w:rFonts w:ascii="仿宋" w:eastAsia="仿宋" w:hAnsi="仿宋" w:hint="eastAsia"/>
          <w:sz w:val="28"/>
          <w:szCs w:val="28"/>
        </w:rPr>
        <w:t>[X]</w:t>
      </w:r>
      <w:r>
        <w:rPr>
          <w:rFonts w:ascii="仿宋" w:eastAsia="仿宋" w:hAnsi="仿宋" w:hint="eastAsia"/>
          <w:sz w:val="28"/>
          <w:szCs w:val="28"/>
        </w:rPr>
        <w:t>种。</w:t>
      </w:r>
    </w:p>
    <w:p w14:paraId="36284C29"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试题库：涵盖全部教学内</w:t>
      </w:r>
      <w:r>
        <w:rPr>
          <w:rFonts w:ascii="仿宋" w:eastAsia="仿宋" w:hAnsi="仿宋" w:hint="eastAsia"/>
          <w:sz w:val="28"/>
          <w:szCs w:val="28"/>
        </w:rPr>
        <w:t>容，区分试题难度的考试题库。</w:t>
      </w:r>
    </w:p>
    <w:p w14:paraId="11EA7843" w14:textId="77777777" w:rsidR="00FD29E7" w:rsidRDefault="00FE05CA">
      <w:pPr>
        <w:rPr>
          <w:rFonts w:ascii="黑体" w:eastAsia="黑体" w:hAnsi="黑体"/>
          <w:sz w:val="28"/>
          <w:szCs w:val="28"/>
        </w:rPr>
      </w:pPr>
      <w:r>
        <w:rPr>
          <w:rFonts w:ascii="黑体" w:eastAsia="黑体" w:hAnsi="黑体" w:hint="eastAsia"/>
          <w:sz w:val="28"/>
          <w:szCs w:val="28"/>
        </w:rPr>
        <w:t>三、完成时间</w:t>
      </w:r>
    </w:p>
    <w:p w14:paraId="329E1538"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具体完成时间</w:t>
      </w:r>
      <w:r>
        <w:rPr>
          <w:rFonts w:ascii="仿宋" w:eastAsia="仿宋" w:hAnsi="仿宋" w:hint="eastAsia"/>
          <w:sz w:val="28"/>
          <w:szCs w:val="28"/>
        </w:rPr>
        <w:t>]</w:t>
      </w:r>
    </w:p>
    <w:p w14:paraId="16B0802B" w14:textId="77777777" w:rsidR="00FD29E7" w:rsidRDefault="00FE05CA">
      <w:pPr>
        <w:rPr>
          <w:rFonts w:ascii="黑体" w:eastAsia="黑体" w:hAnsi="黑体"/>
          <w:sz w:val="28"/>
          <w:szCs w:val="28"/>
        </w:rPr>
      </w:pPr>
      <w:r>
        <w:rPr>
          <w:rFonts w:ascii="黑体" w:eastAsia="黑体" w:hAnsi="黑体" w:hint="eastAsia"/>
          <w:sz w:val="28"/>
          <w:szCs w:val="28"/>
        </w:rPr>
        <w:t>四、待遇</w:t>
      </w:r>
    </w:p>
    <w:p w14:paraId="6C571CB8"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资源库建设完毕且验收合格后，按课时量计发绩效工资，每门课程课时量总数为：</w:t>
      </w:r>
      <w:r>
        <w:rPr>
          <w:rFonts w:ascii="仿宋" w:eastAsia="仿宋" w:hAnsi="仿宋" w:hint="eastAsia"/>
          <w:sz w:val="28"/>
          <w:szCs w:val="28"/>
        </w:rPr>
        <w:t>48</w:t>
      </w:r>
      <w:r>
        <w:rPr>
          <w:rFonts w:ascii="仿宋" w:eastAsia="仿宋" w:hAnsi="仿宋" w:hint="eastAsia"/>
          <w:sz w:val="28"/>
          <w:szCs w:val="28"/>
        </w:rPr>
        <w:t>课时</w:t>
      </w:r>
      <w:r>
        <w:rPr>
          <w:rFonts w:ascii="仿宋" w:eastAsia="仿宋" w:hAnsi="仿宋" w:hint="eastAsia"/>
          <w:sz w:val="28"/>
          <w:szCs w:val="28"/>
        </w:rPr>
        <w:t>+</w:t>
      </w:r>
      <w:r>
        <w:rPr>
          <w:rFonts w:ascii="仿宋" w:eastAsia="仿宋" w:hAnsi="仿宋" w:hint="eastAsia"/>
          <w:sz w:val="28"/>
          <w:szCs w:val="28"/>
        </w:rPr>
        <w:t>人培方案规定实际完成建设课时×</w:t>
      </w:r>
      <w:r>
        <w:rPr>
          <w:rFonts w:ascii="仿宋" w:eastAsia="仿宋" w:hAnsi="仿宋" w:hint="eastAsia"/>
          <w:sz w:val="28"/>
          <w:szCs w:val="28"/>
        </w:rPr>
        <w:t>1.2</w:t>
      </w:r>
      <w:r>
        <w:rPr>
          <w:rFonts w:ascii="仿宋" w:eastAsia="仿宋" w:hAnsi="仿宋" w:hint="eastAsia"/>
          <w:sz w:val="28"/>
          <w:szCs w:val="28"/>
        </w:rPr>
        <w:t>，其中课程负责人课时量为</w:t>
      </w:r>
      <w:r>
        <w:rPr>
          <w:rFonts w:ascii="仿宋" w:eastAsia="仿宋" w:hAnsi="仿宋" w:hint="eastAsia"/>
          <w:sz w:val="28"/>
          <w:szCs w:val="28"/>
        </w:rPr>
        <w:t>48+</w:t>
      </w:r>
      <w:r>
        <w:rPr>
          <w:rFonts w:ascii="仿宋" w:eastAsia="仿宋" w:hAnsi="仿宋" w:hint="eastAsia"/>
          <w:sz w:val="28"/>
          <w:szCs w:val="28"/>
        </w:rPr>
        <w:t>人培方案规定实际完成建设课时×</w:t>
      </w:r>
      <w:r>
        <w:rPr>
          <w:rFonts w:ascii="仿宋" w:eastAsia="仿宋" w:hAnsi="仿宋" w:hint="eastAsia"/>
          <w:sz w:val="28"/>
          <w:szCs w:val="28"/>
        </w:rPr>
        <w:t>0.2</w:t>
      </w:r>
      <w:r>
        <w:rPr>
          <w:rFonts w:ascii="仿宋" w:eastAsia="仿宋" w:hAnsi="仿宋" w:hint="eastAsia"/>
          <w:sz w:val="28"/>
          <w:szCs w:val="28"/>
        </w:rPr>
        <w:t>，团队成员完成课时为实际完成课时量×</w:t>
      </w:r>
      <w:r>
        <w:rPr>
          <w:rFonts w:ascii="仿宋" w:eastAsia="仿宋" w:hAnsi="仿宋" w:hint="eastAsia"/>
          <w:sz w:val="28"/>
          <w:szCs w:val="28"/>
        </w:rPr>
        <w:t>1</w:t>
      </w:r>
      <w:r>
        <w:rPr>
          <w:rFonts w:ascii="仿宋" w:eastAsia="仿宋" w:hAnsi="仿宋" w:hint="eastAsia"/>
          <w:sz w:val="28"/>
          <w:szCs w:val="28"/>
        </w:rPr>
        <w:t>。</w:t>
      </w:r>
    </w:p>
    <w:p w14:paraId="48F50862" w14:textId="77777777" w:rsidR="00FD29E7" w:rsidRDefault="00FE05CA">
      <w:pPr>
        <w:spacing w:line="560" w:lineRule="exact"/>
        <w:ind w:firstLineChars="200" w:firstLine="560"/>
        <w:rPr>
          <w:rFonts w:ascii="仿宋" w:eastAsia="仿宋" w:hAnsi="仿宋"/>
          <w:sz w:val="28"/>
          <w:szCs w:val="28"/>
        </w:rPr>
      </w:pPr>
      <w:r>
        <w:rPr>
          <w:rFonts w:ascii="仿宋" w:eastAsia="仿宋" w:hAnsi="仿宋" w:hint="eastAsia"/>
          <w:sz w:val="28"/>
          <w:szCs w:val="28"/>
        </w:rPr>
        <w:t>课程验收为优秀的，按照优质课标准每门课颁发奖金</w:t>
      </w:r>
      <w:r>
        <w:rPr>
          <w:rFonts w:ascii="仿宋" w:eastAsia="仿宋" w:hAnsi="仿宋" w:hint="eastAsia"/>
          <w:sz w:val="28"/>
          <w:szCs w:val="28"/>
        </w:rPr>
        <w:t>800</w:t>
      </w:r>
      <w:r>
        <w:rPr>
          <w:rFonts w:ascii="仿宋" w:eastAsia="仿宋" w:hAnsi="仿宋" w:hint="eastAsia"/>
          <w:sz w:val="28"/>
          <w:szCs w:val="28"/>
        </w:rPr>
        <w:t>元，每课时增加</w:t>
      </w:r>
      <w:r>
        <w:rPr>
          <w:rFonts w:ascii="仿宋" w:eastAsia="仿宋" w:hAnsi="仿宋" w:hint="eastAsia"/>
          <w:sz w:val="28"/>
          <w:szCs w:val="28"/>
        </w:rPr>
        <w:t>2</w:t>
      </w:r>
      <w:r>
        <w:rPr>
          <w:rFonts w:ascii="仿宋" w:eastAsia="仿宋" w:hAnsi="仿宋" w:hint="eastAsia"/>
          <w:sz w:val="28"/>
          <w:szCs w:val="28"/>
        </w:rPr>
        <w:t>元（含课程负责人工作的</w:t>
      </w:r>
      <w:r>
        <w:rPr>
          <w:rFonts w:ascii="仿宋" w:eastAsia="仿宋" w:hAnsi="仿宋" w:hint="eastAsia"/>
          <w:sz w:val="28"/>
          <w:szCs w:val="28"/>
        </w:rPr>
        <w:t>48</w:t>
      </w:r>
      <w:r>
        <w:rPr>
          <w:rFonts w:ascii="仿宋" w:eastAsia="仿宋" w:hAnsi="仿宋" w:hint="eastAsia"/>
          <w:sz w:val="28"/>
          <w:szCs w:val="28"/>
        </w:rPr>
        <w:t>课时），为优秀课程资源库建设团队颁发证书。</w:t>
      </w:r>
    </w:p>
    <w:p w14:paraId="71E69138" w14:textId="77777777" w:rsidR="00FD29E7" w:rsidRDefault="00FD29E7">
      <w:pPr>
        <w:spacing w:line="560" w:lineRule="exact"/>
        <w:ind w:firstLineChars="200" w:firstLine="560"/>
        <w:rPr>
          <w:rFonts w:ascii="仿宋" w:eastAsia="仿宋" w:hAnsi="仿宋"/>
          <w:sz w:val="28"/>
          <w:szCs w:val="28"/>
        </w:rPr>
      </w:pPr>
    </w:p>
    <w:p w14:paraId="74AE9B5C" w14:textId="77777777" w:rsidR="00FD29E7" w:rsidRDefault="00FE05CA">
      <w:pPr>
        <w:spacing w:line="560" w:lineRule="exact"/>
        <w:ind w:firstLineChars="250" w:firstLine="700"/>
        <w:rPr>
          <w:rFonts w:ascii="仿宋" w:eastAsia="仿宋" w:hAnsi="仿宋"/>
          <w:sz w:val="28"/>
          <w:szCs w:val="28"/>
        </w:rPr>
      </w:pPr>
      <w:r>
        <w:rPr>
          <w:rFonts w:ascii="仿宋" w:eastAsia="仿宋" w:hAnsi="仿宋" w:hint="eastAsia"/>
          <w:sz w:val="28"/>
          <w:szCs w:val="28"/>
        </w:rPr>
        <w:t>教学部主任签字：</w:t>
      </w:r>
    </w:p>
    <w:p w14:paraId="16C9B4A2" w14:textId="77777777" w:rsidR="00FD29E7" w:rsidRDefault="00FD29E7">
      <w:pPr>
        <w:spacing w:line="560" w:lineRule="exact"/>
        <w:ind w:firstLineChars="250" w:firstLine="700"/>
        <w:rPr>
          <w:rFonts w:ascii="仿宋" w:eastAsia="仿宋" w:hAnsi="仿宋"/>
          <w:sz w:val="28"/>
          <w:szCs w:val="28"/>
        </w:rPr>
      </w:pPr>
    </w:p>
    <w:p w14:paraId="101A205A" w14:textId="77777777" w:rsidR="00FD29E7" w:rsidRDefault="00FE05CA">
      <w:pPr>
        <w:spacing w:line="560" w:lineRule="exact"/>
        <w:ind w:firstLineChars="250" w:firstLine="700"/>
        <w:rPr>
          <w:rFonts w:ascii="仿宋" w:eastAsia="仿宋" w:hAnsi="仿宋"/>
          <w:sz w:val="28"/>
          <w:szCs w:val="28"/>
        </w:rPr>
      </w:pPr>
      <w:r>
        <w:rPr>
          <w:rFonts w:ascii="仿宋" w:eastAsia="仿宋" w:hAnsi="仿宋" w:hint="eastAsia"/>
          <w:sz w:val="28"/>
          <w:szCs w:val="28"/>
        </w:rPr>
        <w:t>课程负责人签字：</w:t>
      </w:r>
    </w:p>
    <w:p w14:paraId="27B138F0" w14:textId="77777777" w:rsidR="00FD29E7" w:rsidRDefault="00FD29E7">
      <w:pPr>
        <w:spacing w:line="560" w:lineRule="exact"/>
        <w:ind w:firstLineChars="250" w:firstLine="700"/>
        <w:rPr>
          <w:rFonts w:ascii="仿宋" w:eastAsia="仿宋" w:hAnsi="仿宋"/>
          <w:sz w:val="28"/>
          <w:szCs w:val="28"/>
        </w:rPr>
      </w:pPr>
    </w:p>
    <w:p w14:paraId="0235EFC3" w14:textId="77777777" w:rsidR="00FD29E7" w:rsidRDefault="00FE05CA">
      <w:pPr>
        <w:spacing w:line="560" w:lineRule="exact"/>
        <w:ind w:firstLineChars="250" w:firstLine="700"/>
        <w:rPr>
          <w:rFonts w:ascii="仿宋" w:eastAsia="仿宋" w:hAnsi="仿宋"/>
          <w:sz w:val="28"/>
          <w:szCs w:val="28"/>
        </w:rPr>
      </w:pPr>
      <w:r>
        <w:rPr>
          <w:rFonts w:ascii="仿宋" w:eastAsia="仿宋" w:hAnsi="仿宋" w:hint="eastAsia"/>
          <w:sz w:val="28"/>
          <w:szCs w:val="28"/>
        </w:rPr>
        <w:t>团队成员签名：</w:t>
      </w:r>
    </w:p>
    <w:p w14:paraId="13801D13" w14:textId="77777777" w:rsidR="00FD29E7" w:rsidRDefault="00FD29E7">
      <w:pPr>
        <w:rPr>
          <w:rFonts w:ascii="仿宋" w:eastAsia="仿宋" w:hAnsi="仿宋"/>
          <w:sz w:val="28"/>
          <w:szCs w:val="28"/>
        </w:rPr>
      </w:pPr>
    </w:p>
    <w:p w14:paraId="3426A29C" w14:textId="77777777" w:rsidR="00FD29E7" w:rsidRDefault="00FE05CA">
      <w:pPr>
        <w:jc w:val="right"/>
        <w:rPr>
          <w:rFonts w:ascii="仿宋" w:eastAsia="仿宋" w:hAnsi="仿宋"/>
          <w:sz w:val="28"/>
          <w:szCs w:val="28"/>
        </w:rPr>
      </w:pPr>
      <w:r>
        <w:rPr>
          <w:rFonts w:ascii="仿宋" w:eastAsia="仿宋" w:hAnsi="仿宋" w:hint="eastAsia"/>
          <w:sz w:val="28"/>
          <w:szCs w:val="28"/>
        </w:rPr>
        <w:t>签字日期：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527EA051" w14:textId="77777777" w:rsidR="00FD29E7" w:rsidRDefault="00FD29E7"/>
    <w:p w14:paraId="50261847" w14:textId="77777777" w:rsidR="00FD29E7" w:rsidRDefault="00FE05CA">
      <w:pPr>
        <w:widowControl/>
        <w:jc w:val="left"/>
      </w:pPr>
      <w:r>
        <w:br w:type="page"/>
      </w:r>
    </w:p>
    <w:p w14:paraId="68F52EBE" w14:textId="77777777" w:rsidR="00FD29E7" w:rsidRDefault="00FE05CA">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 xml:space="preserve"> 2</w:t>
      </w:r>
      <w:r>
        <w:rPr>
          <w:rFonts w:ascii="黑体" w:eastAsia="黑体" w:hAnsi="黑体" w:hint="eastAsia"/>
          <w:sz w:val="32"/>
          <w:szCs w:val="32"/>
        </w:rPr>
        <w:t>：</w:t>
      </w:r>
    </w:p>
    <w:p w14:paraId="271ED5FC" w14:textId="77777777" w:rsidR="00FD29E7" w:rsidRDefault="00FE05CA">
      <w:pPr>
        <w:jc w:val="center"/>
        <w:rPr>
          <w:rFonts w:ascii="黑体" w:eastAsia="黑体" w:hAnsi="黑体"/>
          <w:sz w:val="32"/>
          <w:szCs w:val="32"/>
        </w:rPr>
      </w:pPr>
      <w:r>
        <w:rPr>
          <w:rFonts w:ascii="黑体" w:eastAsia="黑体" w:hAnsi="黑体" w:hint="eastAsia"/>
          <w:sz w:val="32"/>
          <w:szCs w:val="32"/>
        </w:rPr>
        <w:t>泊头市职业技术教育中心教学资源库建设评审标准（评分指标及内涵）</w:t>
      </w:r>
    </w:p>
    <w:p w14:paraId="5E6B578D" w14:textId="77777777" w:rsidR="00FD29E7" w:rsidRDefault="00FD29E7">
      <w:pPr>
        <w:jc w:val="center"/>
        <w:rPr>
          <w:rFonts w:ascii="黑体" w:eastAsia="黑体" w:hAnsi="黑体"/>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2"/>
        <w:gridCol w:w="774"/>
        <w:gridCol w:w="1417"/>
        <w:gridCol w:w="4927"/>
        <w:gridCol w:w="586"/>
      </w:tblGrid>
      <w:tr w:rsidR="00FD29E7" w14:paraId="1B29716F" w14:textId="77777777">
        <w:trPr>
          <w:tblHeader/>
        </w:trPr>
        <w:tc>
          <w:tcPr>
            <w:tcW w:w="0" w:type="auto"/>
            <w:shd w:val="clear" w:color="auto" w:fill="F2F2F2"/>
            <w:tcMar>
              <w:top w:w="120" w:type="dxa"/>
              <w:left w:w="180" w:type="dxa"/>
              <w:bottom w:w="120" w:type="dxa"/>
              <w:right w:w="180" w:type="dxa"/>
            </w:tcMar>
            <w:vAlign w:val="center"/>
          </w:tcPr>
          <w:p w14:paraId="3C4DB71D" w14:textId="77777777" w:rsidR="00FD29E7" w:rsidRDefault="00FE05CA">
            <w:pPr>
              <w:widowControl/>
              <w:spacing w:line="280" w:lineRule="atLeast"/>
              <w:jc w:val="center"/>
              <w:rPr>
                <w:rFonts w:ascii="宋体" w:eastAsia="宋体" w:hAnsi="宋体" w:cs="Segoe UI"/>
                <w:b/>
                <w:bCs/>
                <w:color w:val="000000"/>
                <w:sz w:val="20"/>
                <w:szCs w:val="20"/>
              </w:rPr>
            </w:pPr>
            <w:r>
              <w:rPr>
                <w:rFonts w:ascii="宋体" w:eastAsia="宋体" w:hAnsi="宋体" w:cs="Segoe UI"/>
                <w:b/>
                <w:bCs/>
                <w:color w:val="000000"/>
                <w:kern w:val="0"/>
                <w:sz w:val="20"/>
                <w:szCs w:val="20"/>
                <w:lang w:bidi="ar"/>
              </w:rPr>
              <w:t>一级指标</w:t>
            </w:r>
          </w:p>
        </w:tc>
        <w:tc>
          <w:tcPr>
            <w:tcW w:w="0" w:type="auto"/>
            <w:shd w:val="clear" w:color="auto" w:fill="F2F2F2"/>
            <w:tcMar>
              <w:top w:w="120" w:type="dxa"/>
              <w:left w:w="180" w:type="dxa"/>
              <w:bottom w:w="120" w:type="dxa"/>
              <w:right w:w="180" w:type="dxa"/>
            </w:tcMar>
            <w:vAlign w:val="center"/>
          </w:tcPr>
          <w:p w14:paraId="08F787A4" w14:textId="77777777" w:rsidR="00FD29E7" w:rsidRDefault="00FE05CA">
            <w:pPr>
              <w:widowControl/>
              <w:spacing w:line="280" w:lineRule="atLeast"/>
              <w:jc w:val="center"/>
              <w:rPr>
                <w:rFonts w:ascii="宋体" w:eastAsia="宋体" w:hAnsi="宋体" w:cs="Segoe UI"/>
                <w:b/>
                <w:bCs/>
                <w:color w:val="000000"/>
                <w:sz w:val="20"/>
                <w:szCs w:val="20"/>
              </w:rPr>
            </w:pPr>
            <w:r>
              <w:rPr>
                <w:rFonts w:ascii="宋体" w:eastAsia="宋体" w:hAnsi="宋体" w:cs="Segoe UI"/>
                <w:b/>
                <w:bCs/>
                <w:color w:val="000000"/>
                <w:kern w:val="0"/>
                <w:sz w:val="20"/>
                <w:szCs w:val="20"/>
                <w:lang w:bidi="ar"/>
              </w:rPr>
              <w:t>二级指标</w:t>
            </w:r>
          </w:p>
        </w:tc>
        <w:tc>
          <w:tcPr>
            <w:tcW w:w="0" w:type="auto"/>
            <w:shd w:val="clear" w:color="auto" w:fill="F2F2F2"/>
            <w:tcMar>
              <w:top w:w="120" w:type="dxa"/>
              <w:left w:w="180" w:type="dxa"/>
              <w:bottom w:w="120" w:type="dxa"/>
              <w:right w:w="180" w:type="dxa"/>
            </w:tcMar>
            <w:vAlign w:val="center"/>
          </w:tcPr>
          <w:p w14:paraId="7F01DE8C" w14:textId="77777777" w:rsidR="00FD29E7" w:rsidRDefault="00FE05CA">
            <w:pPr>
              <w:widowControl/>
              <w:spacing w:line="280" w:lineRule="atLeast"/>
              <w:jc w:val="center"/>
              <w:rPr>
                <w:rFonts w:ascii="宋体" w:eastAsia="宋体" w:hAnsi="宋体" w:cs="Segoe UI"/>
                <w:b/>
                <w:bCs/>
                <w:color w:val="000000"/>
                <w:sz w:val="20"/>
                <w:szCs w:val="20"/>
              </w:rPr>
            </w:pPr>
            <w:r>
              <w:rPr>
                <w:rFonts w:ascii="宋体" w:eastAsia="宋体" w:hAnsi="宋体" w:cs="Segoe UI"/>
                <w:b/>
                <w:bCs/>
                <w:color w:val="000000"/>
                <w:kern w:val="0"/>
                <w:sz w:val="20"/>
                <w:szCs w:val="20"/>
                <w:lang w:bidi="ar"/>
              </w:rPr>
              <w:t>观测点</w:t>
            </w:r>
          </w:p>
        </w:tc>
        <w:tc>
          <w:tcPr>
            <w:tcW w:w="0" w:type="auto"/>
            <w:shd w:val="clear" w:color="auto" w:fill="F2F2F2"/>
            <w:tcMar>
              <w:top w:w="120" w:type="dxa"/>
              <w:left w:w="180" w:type="dxa"/>
              <w:bottom w:w="120" w:type="dxa"/>
              <w:right w:w="180" w:type="dxa"/>
            </w:tcMar>
            <w:vAlign w:val="center"/>
          </w:tcPr>
          <w:p w14:paraId="373B9B8A" w14:textId="77777777" w:rsidR="00FD29E7" w:rsidRDefault="00FE05CA">
            <w:pPr>
              <w:widowControl/>
              <w:spacing w:line="280" w:lineRule="atLeast"/>
              <w:jc w:val="center"/>
              <w:rPr>
                <w:rFonts w:ascii="宋体" w:eastAsia="宋体" w:hAnsi="宋体" w:cs="Segoe UI"/>
                <w:b/>
                <w:bCs/>
                <w:color w:val="000000"/>
                <w:sz w:val="20"/>
                <w:szCs w:val="20"/>
              </w:rPr>
            </w:pPr>
            <w:r>
              <w:rPr>
                <w:rFonts w:ascii="宋体" w:eastAsia="宋体" w:hAnsi="宋体" w:cs="Segoe UI"/>
                <w:b/>
                <w:bCs/>
                <w:color w:val="000000"/>
                <w:kern w:val="0"/>
                <w:sz w:val="20"/>
                <w:szCs w:val="20"/>
                <w:lang w:bidi="ar"/>
              </w:rPr>
              <w:t>指标内涵</w:t>
            </w:r>
          </w:p>
        </w:tc>
        <w:tc>
          <w:tcPr>
            <w:tcW w:w="0" w:type="auto"/>
            <w:shd w:val="clear" w:color="auto" w:fill="F2F2F2"/>
            <w:tcMar>
              <w:top w:w="120" w:type="dxa"/>
              <w:left w:w="180" w:type="dxa"/>
              <w:bottom w:w="120" w:type="dxa"/>
              <w:right w:w="180" w:type="dxa"/>
            </w:tcMar>
            <w:vAlign w:val="center"/>
          </w:tcPr>
          <w:p w14:paraId="3D018926" w14:textId="77777777" w:rsidR="00FD29E7" w:rsidRDefault="00FE05CA">
            <w:pPr>
              <w:widowControl/>
              <w:spacing w:line="280" w:lineRule="atLeast"/>
              <w:jc w:val="center"/>
              <w:rPr>
                <w:rFonts w:ascii="宋体" w:eastAsia="宋体" w:hAnsi="宋体" w:cs="Segoe UI"/>
                <w:b/>
                <w:bCs/>
                <w:color w:val="000000"/>
                <w:sz w:val="20"/>
                <w:szCs w:val="20"/>
              </w:rPr>
            </w:pPr>
            <w:r>
              <w:rPr>
                <w:rFonts w:ascii="宋体" w:eastAsia="宋体" w:hAnsi="宋体" w:cs="Segoe UI"/>
                <w:b/>
                <w:bCs/>
                <w:color w:val="000000"/>
                <w:kern w:val="0"/>
                <w:sz w:val="20"/>
                <w:szCs w:val="20"/>
                <w:lang w:bidi="ar"/>
              </w:rPr>
              <w:t>分值</w:t>
            </w:r>
          </w:p>
        </w:tc>
      </w:tr>
      <w:tr w:rsidR="00FD29E7" w14:paraId="22716BA9" w14:textId="77777777">
        <w:tc>
          <w:tcPr>
            <w:tcW w:w="0" w:type="auto"/>
            <w:vMerge w:val="restart"/>
            <w:shd w:val="clear" w:color="auto" w:fill="FFFFFF"/>
            <w:tcMar>
              <w:top w:w="120" w:type="dxa"/>
              <w:left w:w="180" w:type="dxa"/>
              <w:bottom w:w="120" w:type="dxa"/>
              <w:right w:w="180" w:type="dxa"/>
            </w:tcMar>
            <w:vAlign w:val="center"/>
          </w:tcPr>
          <w:p w14:paraId="4C7021AE"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课程设计（</w:t>
            </w:r>
            <w:r>
              <w:rPr>
                <w:rFonts w:ascii="宋体" w:eastAsia="宋体" w:hAnsi="宋体" w:cs="Segoe UI"/>
                <w:color w:val="000000"/>
                <w:kern w:val="0"/>
                <w:sz w:val="20"/>
                <w:szCs w:val="20"/>
                <w:lang w:bidi="ar"/>
              </w:rPr>
              <w:t xml:space="preserve">40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1F7CF178"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1.1 </w:t>
            </w:r>
            <w:r>
              <w:rPr>
                <w:rFonts w:ascii="宋体" w:eastAsia="宋体" w:hAnsi="宋体" w:cs="Segoe UI"/>
                <w:color w:val="000000"/>
                <w:kern w:val="0"/>
                <w:sz w:val="20"/>
                <w:szCs w:val="20"/>
                <w:lang w:bidi="ar"/>
              </w:rPr>
              <w:t>课程定位</w:t>
            </w:r>
          </w:p>
        </w:tc>
        <w:tc>
          <w:tcPr>
            <w:tcW w:w="0" w:type="auto"/>
            <w:shd w:val="clear" w:color="auto" w:fill="FFFFFF"/>
            <w:tcMar>
              <w:top w:w="120" w:type="dxa"/>
              <w:left w:w="180" w:type="dxa"/>
              <w:bottom w:w="120" w:type="dxa"/>
              <w:right w:w="180" w:type="dxa"/>
            </w:tcMar>
            <w:vAlign w:val="center"/>
          </w:tcPr>
          <w:p w14:paraId="637C19EF"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导向正确，定位准确、清晰合理</w:t>
            </w:r>
          </w:p>
        </w:tc>
        <w:tc>
          <w:tcPr>
            <w:tcW w:w="0" w:type="auto"/>
            <w:shd w:val="clear" w:color="auto" w:fill="FFFFFF"/>
            <w:tcMar>
              <w:top w:w="120" w:type="dxa"/>
              <w:left w:w="180" w:type="dxa"/>
              <w:bottom w:w="120" w:type="dxa"/>
              <w:right w:w="180" w:type="dxa"/>
            </w:tcMar>
            <w:vAlign w:val="center"/>
          </w:tcPr>
          <w:p w14:paraId="0988E3EC"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内容导向正确；遵循教育教学规律，体现课程思政和现代教育思想；反映学科最新发展成果和教改教研成果；充分考虑学生、社会学习者的不同特点及学习需求；注重职业技能和职业精神融合培养；面向泊头市支柱产业、特色产业和战略新兴产业。</w:t>
            </w: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导向正确，定位准确、清晰合理得</w:t>
            </w:r>
            <w:r>
              <w:rPr>
                <w:rFonts w:ascii="宋体" w:eastAsia="宋体" w:hAnsi="宋体" w:cs="Segoe UI"/>
                <w:color w:val="000000"/>
                <w:kern w:val="0"/>
                <w:sz w:val="20"/>
                <w:szCs w:val="20"/>
                <w:lang w:bidi="ar"/>
              </w:rPr>
              <w:t xml:space="preserve"> 10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导向正确，定位基本准确、清晰合理得</w:t>
            </w:r>
            <w:r>
              <w:rPr>
                <w:rFonts w:ascii="宋体" w:eastAsia="宋体" w:hAnsi="宋体" w:cs="Segoe UI"/>
                <w:color w:val="000000"/>
                <w:kern w:val="0"/>
                <w:sz w:val="20"/>
                <w:szCs w:val="20"/>
                <w:lang w:bidi="ar"/>
              </w:rPr>
              <w:t xml:space="preserve"> 5-8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w:t>
            </w:r>
            <w:r>
              <w:rPr>
                <w:rFonts w:ascii="宋体" w:eastAsia="宋体" w:hAnsi="宋体" w:cs="Segoe UI"/>
                <w:color w:val="000000"/>
                <w:kern w:val="0"/>
                <w:sz w:val="20"/>
                <w:szCs w:val="20"/>
                <w:lang w:bidi="ar"/>
              </w:rPr>
              <w:t>课程内容存在思想性、导向性错误或严重的科学性错误等问题，本课程直接计入不合格。</w:t>
            </w:r>
          </w:p>
        </w:tc>
        <w:tc>
          <w:tcPr>
            <w:tcW w:w="0" w:type="auto"/>
            <w:shd w:val="clear" w:color="auto" w:fill="FFFFFF"/>
            <w:tcMar>
              <w:top w:w="120" w:type="dxa"/>
              <w:left w:w="180" w:type="dxa"/>
              <w:bottom w:w="120" w:type="dxa"/>
              <w:right w:w="180" w:type="dxa"/>
            </w:tcMar>
            <w:vAlign w:val="center"/>
          </w:tcPr>
          <w:p w14:paraId="23D4F807"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10</w:t>
            </w:r>
          </w:p>
        </w:tc>
      </w:tr>
      <w:tr w:rsidR="00FD29E7" w14:paraId="2E334B05" w14:textId="77777777">
        <w:tc>
          <w:tcPr>
            <w:tcW w:w="0" w:type="auto"/>
            <w:vMerge/>
            <w:shd w:val="clear" w:color="auto" w:fill="FFFFFF"/>
            <w:tcMar>
              <w:top w:w="120" w:type="dxa"/>
              <w:left w:w="180" w:type="dxa"/>
              <w:bottom w:w="120" w:type="dxa"/>
              <w:right w:w="180" w:type="dxa"/>
            </w:tcMar>
            <w:vAlign w:val="center"/>
          </w:tcPr>
          <w:p w14:paraId="10F4E6A1" w14:textId="77777777" w:rsidR="00FD29E7" w:rsidRDefault="00FD29E7">
            <w:pPr>
              <w:jc w:val="left"/>
              <w:rPr>
                <w:rFonts w:ascii="宋体" w:eastAsia="宋体" w:hAnsi="宋体" w:cs="Segoe UI"/>
                <w:color w:val="000000"/>
                <w:sz w:val="20"/>
                <w:szCs w:val="20"/>
              </w:rPr>
            </w:pPr>
          </w:p>
        </w:tc>
        <w:tc>
          <w:tcPr>
            <w:tcW w:w="0" w:type="auto"/>
            <w:shd w:val="clear" w:color="auto" w:fill="FFFFFF"/>
            <w:tcMar>
              <w:top w:w="120" w:type="dxa"/>
              <w:left w:w="180" w:type="dxa"/>
              <w:bottom w:w="120" w:type="dxa"/>
              <w:right w:w="180" w:type="dxa"/>
            </w:tcMar>
            <w:vAlign w:val="center"/>
          </w:tcPr>
          <w:p w14:paraId="453955AF"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1.2 </w:t>
            </w:r>
            <w:r>
              <w:rPr>
                <w:rFonts w:ascii="宋体" w:eastAsia="宋体" w:hAnsi="宋体" w:cs="Segoe UI"/>
                <w:color w:val="000000"/>
                <w:kern w:val="0"/>
                <w:sz w:val="20"/>
                <w:szCs w:val="20"/>
                <w:lang w:bidi="ar"/>
              </w:rPr>
              <w:t>教学体系</w:t>
            </w:r>
          </w:p>
        </w:tc>
        <w:tc>
          <w:tcPr>
            <w:tcW w:w="0" w:type="auto"/>
            <w:shd w:val="clear" w:color="auto" w:fill="FFFFFF"/>
            <w:tcMar>
              <w:top w:w="120" w:type="dxa"/>
              <w:left w:w="180" w:type="dxa"/>
              <w:bottom w:w="120" w:type="dxa"/>
              <w:right w:w="180" w:type="dxa"/>
            </w:tcMar>
            <w:vAlign w:val="center"/>
          </w:tcPr>
          <w:p w14:paraId="13ABD502"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教学体系完整，教材使用规范</w:t>
            </w:r>
          </w:p>
        </w:tc>
        <w:tc>
          <w:tcPr>
            <w:tcW w:w="0" w:type="auto"/>
            <w:shd w:val="clear" w:color="auto" w:fill="FFFFFF"/>
            <w:tcMar>
              <w:top w:w="120" w:type="dxa"/>
              <w:left w:w="180" w:type="dxa"/>
              <w:bottom w:w="120" w:type="dxa"/>
              <w:right w:w="180" w:type="dxa"/>
            </w:tcMar>
            <w:vAlign w:val="center"/>
          </w:tcPr>
          <w:p w14:paraId="3594ACD1"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内容体系完整，微课程视频能够覆盖本课程的基本知识点（或技能点）。</w:t>
            </w: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教学体系完整，使用职业教育国家规划教材，得</w:t>
            </w:r>
            <w:r>
              <w:rPr>
                <w:rFonts w:ascii="宋体" w:eastAsia="宋体" w:hAnsi="宋体" w:cs="Segoe UI"/>
                <w:color w:val="000000"/>
                <w:kern w:val="0"/>
                <w:sz w:val="20"/>
                <w:szCs w:val="20"/>
                <w:lang w:bidi="ar"/>
              </w:rPr>
              <w:t xml:space="preserve"> 8-10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教学体系基本完整，使用教材能满足基本教学需要，得</w:t>
            </w:r>
            <w:r>
              <w:rPr>
                <w:rFonts w:ascii="宋体" w:eastAsia="宋体" w:hAnsi="宋体" w:cs="Segoe UI"/>
                <w:color w:val="000000"/>
                <w:kern w:val="0"/>
                <w:sz w:val="20"/>
                <w:szCs w:val="20"/>
                <w:lang w:bidi="ar"/>
              </w:rPr>
              <w:t xml:space="preserve"> 5-7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3. </w:t>
            </w:r>
            <w:r>
              <w:rPr>
                <w:rFonts w:ascii="宋体" w:eastAsia="宋体" w:hAnsi="宋体" w:cs="Segoe UI"/>
                <w:color w:val="000000"/>
                <w:kern w:val="0"/>
                <w:sz w:val="20"/>
                <w:szCs w:val="20"/>
                <w:lang w:bidi="ar"/>
              </w:rPr>
              <w:t>教学体系有严重缺陷，得</w:t>
            </w:r>
            <w:r>
              <w:rPr>
                <w:rFonts w:ascii="宋体" w:eastAsia="宋体" w:hAnsi="宋体" w:cs="Segoe UI"/>
                <w:color w:val="000000"/>
                <w:kern w:val="0"/>
                <w:sz w:val="20"/>
                <w:szCs w:val="20"/>
                <w:lang w:bidi="ar"/>
              </w:rPr>
              <w:t xml:space="preserve"> 0-4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130BF44D"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10</w:t>
            </w:r>
          </w:p>
        </w:tc>
      </w:tr>
      <w:tr w:rsidR="00FD29E7" w14:paraId="3FE2B991" w14:textId="77777777">
        <w:tc>
          <w:tcPr>
            <w:tcW w:w="0" w:type="auto"/>
            <w:vMerge/>
            <w:shd w:val="clear" w:color="auto" w:fill="FFFFFF"/>
            <w:tcMar>
              <w:top w:w="120" w:type="dxa"/>
              <w:left w:w="180" w:type="dxa"/>
              <w:bottom w:w="120" w:type="dxa"/>
              <w:right w:w="180" w:type="dxa"/>
            </w:tcMar>
            <w:vAlign w:val="center"/>
          </w:tcPr>
          <w:p w14:paraId="1AC85EB4" w14:textId="77777777" w:rsidR="00FD29E7" w:rsidRDefault="00FD29E7">
            <w:pPr>
              <w:jc w:val="left"/>
              <w:rPr>
                <w:rFonts w:ascii="宋体" w:eastAsia="宋体" w:hAnsi="宋体" w:cs="Segoe UI"/>
                <w:color w:val="000000"/>
                <w:sz w:val="20"/>
                <w:szCs w:val="20"/>
              </w:rPr>
            </w:pPr>
          </w:p>
        </w:tc>
        <w:tc>
          <w:tcPr>
            <w:tcW w:w="0" w:type="auto"/>
            <w:shd w:val="clear" w:color="auto" w:fill="FFFFFF"/>
            <w:tcMar>
              <w:top w:w="120" w:type="dxa"/>
              <w:left w:w="180" w:type="dxa"/>
              <w:bottom w:w="120" w:type="dxa"/>
              <w:right w:w="180" w:type="dxa"/>
            </w:tcMar>
            <w:vAlign w:val="center"/>
          </w:tcPr>
          <w:p w14:paraId="7370C9C7"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1.3 </w:t>
            </w:r>
            <w:r>
              <w:rPr>
                <w:rFonts w:ascii="宋体" w:eastAsia="宋体" w:hAnsi="宋体" w:cs="Segoe UI"/>
                <w:color w:val="000000"/>
                <w:kern w:val="0"/>
                <w:sz w:val="20"/>
                <w:szCs w:val="20"/>
                <w:lang w:bidi="ar"/>
              </w:rPr>
              <w:t>教学设计</w:t>
            </w:r>
          </w:p>
        </w:tc>
        <w:tc>
          <w:tcPr>
            <w:tcW w:w="0" w:type="auto"/>
            <w:shd w:val="clear" w:color="auto" w:fill="FFFFFF"/>
            <w:tcMar>
              <w:top w:w="120" w:type="dxa"/>
              <w:left w:w="180" w:type="dxa"/>
              <w:bottom w:w="120" w:type="dxa"/>
              <w:right w:w="180" w:type="dxa"/>
            </w:tcMar>
            <w:vAlign w:val="center"/>
          </w:tcPr>
          <w:p w14:paraId="1F503105"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方案合理、步骤清晰、目标达成有效</w:t>
            </w:r>
          </w:p>
        </w:tc>
        <w:tc>
          <w:tcPr>
            <w:tcW w:w="0" w:type="auto"/>
            <w:shd w:val="clear" w:color="auto" w:fill="FFFFFF"/>
            <w:tcMar>
              <w:top w:w="120" w:type="dxa"/>
              <w:left w:w="180" w:type="dxa"/>
              <w:bottom w:w="120" w:type="dxa"/>
              <w:right w:w="180" w:type="dxa"/>
            </w:tcMar>
            <w:vAlign w:val="center"/>
          </w:tcPr>
          <w:p w14:paraId="2035D816"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课程目标清晰、体系完整，每个知识点（或技能点）后的资源按照学生的认知规律罗列有序而非简单堆积。微课程视频以学生为主体进行合理的教学设计，结构完整，构思巧妙、逻辑清晰、方法有效。</w:t>
            </w: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设计合理、结构完整、步骤清晰，得</w:t>
            </w:r>
            <w:r>
              <w:rPr>
                <w:rFonts w:ascii="宋体" w:eastAsia="宋体" w:hAnsi="宋体" w:cs="Segoe UI"/>
                <w:color w:val="000000"/>
                <w:kern w:val="0"/>
                <w:sz w:val="20"/>
                <w:szCs w:val="20"/>
                <w:lang w:bidi="ar"/>
              </w:rPr>
              <w:t xml:space="preserve"> 8-10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设计基本合理、结构完整、步骤清晰，得</w:t>
            </w:r>
            <w:r>
              <w:rPr>
                <w:rFonts w:ascii="宋体" w:eastAsia="宋体" w:hAnsi="宋体" w:cs="Segoe UI"/>
                <w:color w:val="000000"/>
                <w:kern w:val="0"/>
                <w:sz w:val="20"/>
                <w:szCs w:val="20"/>
                <w:lang w:bidi="ar"/>
              </w:rPr>
              <w:t xml:space="preserve"> 5-7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3. </w:t>
            </w:r>
            <w:r>
              <w:rPr>
                <w:rFonts w:ascii="宋体" w:eastAsia="宋体" w:hAnsi="宋体" w:cs="Segoe UI"/>
                <w:color w:val="000000"/>
                <w:kern w:val="0"/>
                <w:sz w:val="20"/>
                <w:szCs w:val="20"/>
                <w:lang w:bidi="ar"/>
              </w:rPr>
              <w:t>设计有严重缺陷，步骤混乱，得</w:t>
            </w:r>
            <w:r>
              <w:rPr>
                <w:rFonts w:ascii="宋体" w:eastAsia="宋体" w:hAnsi="宋体" w:cs="Segoe UI"/>
                <w:color w:val="000000"/>
                <w:kern w:val="0"/>
                <w:sz w:val="20"/>
                <w:szCs w:val="20"/>
                <w:lang w:bidi="ar"/>
              </w:rPr>
              <w:t xml:space="preserve"> 0-4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7D013DAB"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10</w:t>
            </w:r>
          </w:p>
        </w:tc>
      </w:tr>
      <w:tr w:rsidR="00FD29E7" w14:paraId="17C0B73C" w14:textId="77777777">
        <w:tc>
          <w:tcPr>
            <w:tcW w:w="0" w:type="auto"/>
            <w:vMerge/>
            <w:shd w:val="clear" w:color="auto" w:fill="FFFFFF"/>
            <w:tcMar>
              <w:top w:w="120" w:type="dxa"/>
              <w:left w:w="180" w:type="dxa"/>
              <w:bottom w:w="120" w:type="dxa"/>
              <w:right w:w="180" w:type="dxa"/>
            </w:tcMar>
            <w:vAlign w:val="center"/>
          </w:tcPr>
          <w:p w14:paraId="1CEB417E" w14:textId="77777777" w:rsidR="00FD29E7" w:rsidRDefault="00FD29E7">
            <w:pPr>
              <w:jc w:val="left"/>
              <w:rPr>
                <w:rFonts w:ascii="宋体" w:eastAsia="宋体" w:hAnsi="宋体" w:cs="Segoe UI"/>
                <w:color w:val="000000"/>
                <w:sz w:val="20"/>
                <w:szCs w:val="20"/>
              </w:rPr>
            </w:pPr>
          </w:p>
        </w:tc>
        <w:tc>
          <w:tcPr>
            <w:tcW w:w="0" w:type="auto"/>
            <w:shd w:val="clear" w:color="auto" w:fill="FFFFFF"/>
            <w:tcMar>
              <w:top w:w="120" w:type="dxa"/>
              <w:left w:w="180" w:type="dxa"/>
              <w:bottom w:w="120" w:type="dxa"/>
              <w:right w:w="180" w:type="dxa"/>
            </w:tcMar>
            <w:vAlign w:val="center"/>
          </w:tcPr>
          <w:p w14:paraId="42005A96"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1.4 </w:t>
            </w:r>
            <w:r>
              <w:rPr>
                <w:rFonts w:ascii="宋体" w:eastAsia="宋体" w:hAnsi="宋体" w:cs="Segoe UI"/>
                <w:color w:val="000000"/>
                <w:kern w:val="0"/>
                <w:sz w:val="20"/>
                <w:szCs w:val="20"/>
                <w:lang w:bidi="ar"/>
              </w:rPr>
              <w:t>教学方法</w:t>
            </w:r>
          </w:p>
        </w:tc>
        <w:tc>
          <w:tcPr>
            <w:tcW w:w="0" w:type="auto"/>
            <w:shd w:val="clear" w:color="auto" w:fill="FFFFFF"/>
            <w:tcMar>
              <w:top w:w="120" w:type="dxa"/>
              <w:left w:w="180" w:type="dxa"/>
              <w:bottom w:w="120" w:type="dxa"/>
              <w:right w:w="180" w:type="dxa"/>
            </w:tcMar>
            <w:vAlign w:val="center"/>
          </w:tcPr>
          <w:p w14:paraId="3C2B09FB"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形式多样、有效</w:t>
            </w:r>
          </w:p>
        </w:tc>
        <w:tc>
          <w:tcPr>
            <w:tcW w:w="0" w:type="auto"/>
            <w:shd w:val="clear" w:color="auto" w:fill="FFFFFF"/>
            <w:tcMar>
              <w:top w:w="120" w:type="dxa"/>
              <w:left w:w="180" w:type="dxa"/>
              <w:bottom w:w="120" w:type="dxa"/>
              <w:right w:w="180" w:type="dxa"/>
            </w:tcMar>
            <w:vAlign w:val="center"/>
          </w:tcPr>
          <w:p w14:paraId="7A52A8B6"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教学方法多样，适合中职学生学习，符合职业教育理念。</w:t>
            </w:r>
          </w:p>
        </w:tc>
        <w:tc>
          <w:tcPr>
            <w:tcW w:w="0" w:type="auto"/>
            <w:shd w:val="clear" w:color="auto" w:fill="FFFFFF"/>
            <w:tcMar>
              <w:top w:w="120" w:type="dxa"/>
              <w:left w:w="180" w:type="dxa"/>
              <w:bottom w:w="120" w:type="dxa"/>
              <w:right w:w="180" w:type="dxa"/>
            </w:tcMar>
            <w:vAlign w:val="center"/>
          </w:tcPr>
          <w:p w14:paraId="065DFD6E"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10</w:t>
            </w:r>
          </w:p>
        </w:tc>
      </w:tr>
      <w:tr w:rsidR="00FD29E7" w14:paraId="619045EA" w14:textId="77777777">
        <w:tc>
          <w:tcPr>
            <w:tcW w:w="0" w:type="auto"/>
            <w:vMerge w:val="restart"/>
            <w:shd w:val="clear" w:color="auto" w:fill="FFFFFF"/>
            <w:tcMar>
              <w:top w:w="120" w:type="dxa"/>
              <w:left w:w="180" w:type="dxa"/>
              <w:bottom w:w="120" w:type="dxa"/>
              <w:right w:w="180" w:type="dxa"/>
            </w:tcMar>
            <w:vAlign w:val="center"/>
          </w:tcPr>
          <w:p w14:paraId="1F8DE69F"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课程资源（</w:t>
            </w:r>
            <w:r>
              <w:rPr>
                <w:rFonts w:ascii="宋体" w:eastAsia="宋体" w:hAnsi="宋体" w:cs="Segoe UI"/>
                <w:color w:val="000000"/>
                <w:kern w:val="0"/>
                <w:sz w:val="20"/>
                <w:szCs w:val="20"/>
                <w:lang w:bidi="ar"/>
              </w:rPr>
              <w:t xml:space="preserve">40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2F59B24D"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2.1 </w:t>
            </w:r>
            <w:r>
              <w:rPr>
                <w:rFonts w:ascii="宋体" w:eastAsia="宋体" w:hAnsi="宋体" w:cs="Segoe UI"/>
                <w:color w:val="000000"/>
                <w:kern w:val="0"/>
                <w:sz w:val="20"/>
                <w:szCs w:val="20"/>
                <w:lang w:bidi="ar"/>
              </w:rPr>
              <w:t>基本资源</w:t>
            </w:r>
          </w:p>
        </w:tc>
        <w:tc>
          <w:tcPr>
            <w:tcW w:w="0" w:type="auto"/>
            <w:shd w:val="clear" w:color="auto" w:fill="FFFFFF"/>
            <w:tcMar>
              <w:top w:w="120" w:type="dxa"/>
              <w:left w:w="180" w:type="dxa"/>
              <w:bottom w:w="120" w:type="dxa"/>
              <w:right w:w="180" w:type="dxa"/>
            </w:tcMar>
            <w:vAlign w:val="center"/>
          </w:tcPr>
          <w:p w14:paraId="347C7DFA"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资源类型和数量</w:t>
            </w:r>
          </w:p>
        </w:tc>
        <w:tc>
          <w:tcPr>
            <w:tcW w:w="0" w:type="auto"/>
            <w:shd w:val="clear" w:color="auto" w:fill="FFFFFF"/>
            <w:tcMar>
              <w:top w:w="120" w:type="dxa"/>
              <w:left w:w="180" w:type="dxa"/>
              <w:bottom w:w="120" w:type="dxa"/>
              <w:right w:w="180" w:type="dxa"/>
            </w:tcMar>
            <w:vAlign w:val="center"/>
          </w:tcPr>
          <w:p w14:paraId="23E1B664"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资源类型和数量满足一门完整课程搭建需求。每个知识点（或技能点）均有对应微课程视频、课件和评价学习效果的作业。每个由知识点（或技能点）组成的教学单元必须有单元作业。有难度设置合理、能够有效评价学习效果的课程试题库。组课非文本资源</w:t>
            </w:r>
            <w:r>
              <w:rPr>
                <w:rFonts w:ascii="宋体" w:eastAsia="宋体" w:hAnsi="宋体" w:cs="Segoe UI"/>
                <w:color w:val="000000"/>
                <w:kern w:val="0"/>
                <w:sz w:val="20"/>
                <w:szCs w:val="20"/>
                <w:lang w:bidi="ar"/>
              </w:rPr>
              <w:lastRenderedPageBreak/>
              <w:t>≥60%</w:t>
            </w:r>
            <w:r>
              <w:rPr>
                <w:rFonts w:ascii="宋体" w:eastAsia="宋体" w:hAnsi="宋体" w:cs="Segoe UI"/>
                <w:color w:val="000000"/>
                <w:kern w:val="0"/>
                <w:sz w:val="20"/>
                <w:szCs w:val="20"/>
                <w:lang w:bidi="ar"/>
              </w:rPr>
              <w:t>，得</w:t>
            </w:r>
            <w:r>
              <w:rPr>
                <w:rFonts w:ascii="宋体" w:eastAsia="宋体" w:hAnsi="宋体" w:cs="Segoe UI"/>
                <w:color w:val="000000"/>
                <w:kern w:val="0"/>
                <w:sz w:val="20"/>
                <w:szCs w:val="20"/>
                <w:lang w:bidi="ar"/>
              </w:rPr>
              <w:t xml:space="preserve"> 25-30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60%&gt; </w:t>
            </w:r>
            <w:r>
              <w:rPr>
                <w:rFonts w:ascii="宋体" w:eastAsia="宋体" w:hAnsi="宋体" w:cs="Segoe UI"/>
                <w:color w:val="000000"/>
                <w:kern w:val="0"/>
                <w:sz w:val="20"/>
                <w:szCs w:val="20"/>
                <w:lang w:bidi="ar"/>
              </w:rPr>
              <w:t>组课非文本资源</w:t>
            </w:r>
            <w:r>
              <w:rPr>
                <w:rFonts w:ascii="宋体" w:eastAsia="宋体" w:hAnsi="宋体" w:cs="Segoe UI"/>
                <w:color w:val="000000"/>
                <w:kern w:val="0"/>
                <w:sz w:val="20"/>
                <w:szCs w:val="20"/>
                <w:lang w:bidi="ar"/>
              </w:rPr>
              <w:t xml:space="preserve"> &gt; 30%</w:t>
            </w:r>
            <w:r>
              <w:rPr>
                <w:rFonts w:ascii="宋体" w:eastAsia="宋体" w:hAnsi="宋体" w:cs="Segoe UI"/>
                <w:color w:val="000000"/>
                <w:kern w:val="0"/>
                <w:sz w:val="20"/>
                <w:szCs w:val="20"/>
                <w:lang w:bidi="ar"/>
              </w:rPr>
              <w:t>，得</w:t>
            </w:r>
            <w:r>
              <w:rPr>
                <w:rFonts w:ascii="宋体" w:eastAsia="宋体" w:hAnsi="宋体" w:cs="Segoe UI"/>
                <w:color w:val="000000"/>
                <w:kern w:val="0"/>
                <w:sz w:val="20"/>
                <w:szCs w:val="20"/>
                <w:lang w:bidi="ar"/>
              </w:rPr>
              <w:t xml:space="preserve"> 20-24 </w:t>
            </w:r>
            <w:r>
              <w:rPr>
                <w:rFonts w:ascii="宋体" w:eastAsia="宋体" w:hAnsi="宋体" w:cs="Segoe UI"/>
                <w:color w:val="000000"/>
                <w:kern w:val="0"/>
                <w:sz w:val="20"/>
                <w:szCs w:val="20"/>
                <w:lang w:bidi="ar"/>
              </w:rPr>
              <w:t>分。组课非文本资源</w:t>
            </w:r>
            <w:r>
              <w:rPr>
                <w:rFonts w:ascii="宋体" w:eastAsia="宋体" w:hAnsi="宋体" w:cs="Segoe UI"/>
                <w:color w:val="000000"/>
                <w:kern w:val="0"/>
                <w:sz w:val="20"/>
                <w:szCs w:val="20"/>
                <w:lang w:bidi="ar"/>
              </w:rPr>
              <w:t>≤30%</w:t>
            </w:r>
            <w:r>
              <w:rPr>
                <w:rFonts w:ascii="宋体" w:eastAsia="宋体" w:hAnsi="宋体" w:cs="Segoe UI"/>
                <w:color w:val="000000"/>
                <w:kern w:val="0"/>
                <w:sz w:val="20"/>
                <w:szCs w:val="20"/>
                <w:lang w:bidi="ar"/>
              </w:rPr>
              <w:t>，得</w:t>
            </w:r>
            <w:r>
              <w:rPr>
                <w:rFonts w:ascii="宋体" w:eastAsia="宋体" w:hAnsi="宋体" w:cs="Segoe UI"/>
                <w:color w:val="000000"/>
                <w:kern w:val="0"/>
                <w:sz w:val="20"/>
                <w:szCs w:val="20"/>
                <w:lang w:bidi="ar"/>
              </w:rPr>
              <w:t xml:space="preserve"> 0-19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6BF03603"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lastRenderedPageBreak/>
              <w:t>30</w:t>
            </w:r>
          </w:p>
        </w:tc>
      </w:tr>
      <w:tr w:rsidR="00FD29E7" w14:paraId="6CA7CDF0" w14:textId="77777777">
        <w:tc>
          <w:tcPr>
            <w:tcW w:w="0" w:type="auto"/>
            <w:vMerge/>
            <w:shd w:val="clear" w:color="auto" w:fill="FFFFFF"/>
            <w:tcMar>
              <w:top w:w="120" w:type="dxa"/>
              <w:left w:w="180" w:type="dxa"/>
              <w:bottom w:w="120" w:type="dxa"/>
              <w:right w:w="180" w:type="dxa"/>
            </w:tcMar>
            <w:vAlign w:val="center"/>
          </w:tcPr>
          <w:p w14:paraId="669DD379" w14:textId="77777777" w:rsidR="00FD29E7" w:rsidRDefault="00FD29E7">
            <w:pPr>
              <w:jc w:val="left"/>
              <w:rPr>
                <w:rFonts w:ascii="宋体" w:eastAsia="宋体" w:hAnsi="宋体" w:cs="Segoe UI"/>
                <w:color w:val="000000"/>
                <w:sz w:val="20"/>
                <w:szCs w:val="20"/>
              </w:rPr>
            </w:pPr>
          </w:p>
        </w:tc>
        <w:tc>
          <w:tcPr>
            <w:tcW w:w="0" w:type="auto"/>
            <w:shd w:val="clear" w:color="auto" w:fill="FFFFFF"/>
            <w:tcMar>
              <w:top w:w="120" w:type="dxa"/>
              <w:left w:w="180" w:type="dxa"/>
              <w:bottom w:w="120" w:type="dxa"/>
              <w:right w:w="180" w:type="dxa"/>
            </w:tcMar>
            <w:vAlign w:val="center"/>
          </w:tcPr>
          <w:p w14:paraId="52B438D4"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2.2 </w:t>
            </w:r>
            <w:r>
              <w:rPr>
                <w:rFonts w:ascii="宋体" w:eastAsia="宋体" w:hAnsi="宋体" w:cs="Segoe UI"/>
                <w:color w:val="000000"/>
                <w:kern w:val="0"/>
                <w:sz w:val="20"/>
                <w:szCs w:val="20"/>
                <w:lang w:bidi="ar"/>
              </w:rPr>
              <w:t>资源创新</w:t>
            </w:r>
          </w:p>
        </w:tc>
        <w:tc>
          <w:tcPr>
            <w:tcW w:w="0" w:type="auto"/>
            <w:shd w:val="clear" w:color="auto" w:fill="FFFFFF"/>
            <w:tcMar>
              <w:top w:w="120" w:type="dxa"/>
              <w:left w:w="180" w:type="dxa"/>
              <w:bottom w:w="120" w:type="dxa"/>
              <w:right w:w="180" w:type="dxa"/>
            </w:tcMar>
            <w:vAlign w:val="center"/>
          </w:tcPr>
          <w:p w14:paraId="719C9EDF"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知识产权明确</w:t>
            </w:r>
          </w:p>
        </w:tc>
        <w:tc>
          <w:tcPr>
            <w:tcW w:w="0" w:type="auto"/>
            <w:shd w:val="clear" w:color="auto" w:fill="FFFFFF"/>
            <w:tcMar>
              <w:top w:w="120" w:type="dxa"/>
              <w:left w:w="180" w:type="dxa"/>
              <w:bottom w:w="120" w:type="dxa"/>
              <w:right w:w="180" w:type="dxa"/>
            </w:tcMar>
            <w:vAlign w:val="center"/>
          </w:tcPr>
          <w:p w14:paraId="13D3DFD5"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原创性资源比例较高。非原创资源来源标注明确，知识产权清晰。</w:t>
            </w: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知识产权明确，原创资源比例占</w:t>
            </w:r>
            <w:r>
              <w:rPr>
                <w:rFonts w:ascii="宋体" w:eastAsia="宋体" w:hAnsi="宋体" w:cs="Segoe UI"/>
                <w:color w:val="000000"/>
                <w:kern w:val="0"/>
                <w:sz w:val="20"/>
                <w:szCs w:val="20"/>
                <w:lang w:bidi="ar"/>
              </w:rPr>
              <w:t xml:space="preserve"> 100%</w:t>
            </w:r>
            <w:r>
              <w:rPr>
                <w:rFonts w:ascii="宋体" w:eastAsia="宋体" w:hAnsi="宋体" w:cs="Segoe UI"/>
                <w:color w:val="000000"/>
                <w:kern w:val="0"/>
                <w:sz w:val="20"/>
                <w:szCs w:val="20"/>
                <w:lang w:bidi="ar"/>
              </w:rPr>
              <w:t>，得</w:t>
            </w:r>
            <w:r>
              <w:rPr>
                <w:rFonts w:ascii="宋体" w:eastAsia="宋体" w:hAnsi="宋体" w:cs="Segoe UI"/>
                <w:color w:val="000000"/>
                <w:kern w:val="0"/>
                <w:sz w:val="20"/>
                <w:szCs w:val="20"/>
                <w:lang w:bidi="ar"/>
              </w:rPr>
              <w:t xml:space="preserve"> 10</w:t>
            </w:r>
            <w:r>
              <w:rPr>
                <w:rFonts w:ascii="宋体" w:eastAsia="宋体" w:hAnsi="宋体" w:cs="Segoe UI"/>
                <w:color w:val="000000"/>
                <w:kern w:val="0"/>
                <w:sz w:val="20"/>
                <w:szCs w:val="20"/>
                <w:lang w:bidi="ar"/>
              </w:rPr>
              <w:t xml:space="preserve">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知识产权明确，原创性资源比例占</w:t>
            </w:r>
            <w:r>
              <w:rPr>
                <w:rFonts w:ascii="宋体" w:eastAsia="宋体" w:hAnsi="宋体" w:cs="Segoe UI"/>
                <w:color w:val="000000"/>
                <w:kern w:val="0"/>
                <w:sz w:val="20"/>
                <w:szCs w:val="20"/>
                <w:lang w:bidi="ar"/>
              </w:rPr>
              <w:t xml:space="preserve"> 70% </w:t>
            </w:r>
            <w:r>
              <w:rPr>
                <w:rFonts w:ascii="宋体" w:eastAsia="宋体" w:hAnsi="宋体" w:cs="Segoe UI"/>
                <w:color w:val="000000"/>
                <w:kern w:val="0"/>
                <w:sz w:val="20"/>
                <w:szCs w:val="20"/>
                <w:lang w:bidi="ar"/>
              </w:rPr>
              <w:t>以上，得</w:t>
            </w:r>
            <w:r>
              <w:rPr>
                <w:rFonts w:ascii="宋体" w:eastAsia="宋体" w:hAnsi="宋体" w:cs="Segoe UI"/>
                <w:color w:val="000000"/>
                <w:kern w:val="0"/>
                <w:sz w:val="20"/>
                <w:szCs w:val="20"/>
                <w:lang w:bidi="ar"/>
              </w:rPr>
              <w:t xml:space="preserve"> 4-9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3. </w:t>
            </w:r>
            <w:r>
              <w:rPr>
                <w:rFonts w:ascii="宋体" w:eastAsia="宋体" w:hAnsi="宋体" w:cs="Segoe UI"/>
                <w:color w:val="000000"/>
                <w:kern w:val="0"/>
                <w:sz w:val="20"/>
                <w:szCs w:val="20"/>
                <w:lang w:bidi="ar"/>
              </w:rPr>
              <w:t>知识产权明确，原创性资源比例占</w:t>
            </w:r>
            <w:r>
              <w:rPr>
                <w:rFonts w:ascii="宋体" w:eastAsia="宋体" w:hAnsi="宋体" w:cs="Segoe UI"/>
                <w:color w:val="000000"/>
                <w:kern w:val="0"/>
                <w:sz w:val="20"/>
                <w:szCs w:val="20"/>
                <w:lang w:bidi="ar"/>
              </w:rPr>
              <w:t xml:space="preserve"> 70% </w:t>
            </w:r>
            <w:r>
              <w:rPr>
                <w:rFonts w:ascii="宋体" w:eastAsia="宋体" w:hAnsi="宋体" w:cs="Segoe UI"/>
                <w:color w:val="000000"/>
                <w:kern w:val="0"/>
                <w:sz w:val="20"/>
                <w:szCs w:val="20"/>
                <w:lang w:bidi="ar"/>
              </w:rPr>
              <w:t>以下，得</w:t>
            </w:r>
            <w:r>
              <w:rPr>
                <w:rFonts w:ascii="宋体" w:eastAsia="宋体" w:hAnsi="宋体" w:cs="Segoe UI"/>
                <w:color w:val="000000"/>
                <w:kern w:val="0"/>
                <w:sz w:val="20"/>
                <w:szCs w:val="20"/>
                <w:lang w:bidi="ar"/>
              </w:rPr>
              <w:t xml:space="preserve"> 0-3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w:t>
            </w:r>
            <w:r>
              <w:rPr>
                <w:rFonts w:ascii="宋体" w:eastAsia="宋体" w:hAnsi="宋体" w:cs="Segoe UI"/>
                <w:color w:val="000000"/>
                <w:kern w:val="0"/>
                <w:sz w:val="20"/>
                <w:szCs w:val="20"/>
                <w:lang w:bidi="ar"/>
              </w:rPr>
              <w:t>课程资源存在严重知识产权争议，取消评审资格。</w:t>
            </w:r>
          </w:p>
        </w:tc>
        <w:tc>
          <w:tcPr>
            <w:tcW w:w="0" w:type="auto"/>
            <w:shd w:val="clear" w:color="auto" w:fill="FFFFFF"/>
            <w:tcMar>
              <w:top w:w="120" w:type="dxa"/>
              <w:left w:w="180" w:type="dxa"/>
              <w:bottom w:w="120" w:type="dxa"/>
              <w:right w:w="180" w:type="dxa"/>
            </w:tcMar>
            <w:vAlign w:val="center"/>
          </w:tcPr>
          <w:p w14:paraId="2C741374"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10</w:t>
            </w:r>
          </w:p>
        </w:tc>
      </w:tr>
      <w:tr w:rsidR="00FD29E7" w14:paraId="15554F74" w14:textId="77777777">
        <w:tc>
          <w:tcPr>
            <w:tcW w:w="0" w:type="auto"/>
            <w:shd w:val="clear" w:color="auto" w:fill="FFFFFF"/>
            <w:tcMar>
              <w:top w:w="120" w:type="dxa"/>
              <w:left w:w="180" w:type="dxa"/>
              <w:bottom w:w="120" w:type="dxa"/>
              <w:right w:w="180" w:type="dxa"/>
            </w:tcMar>
            <w:vAlign w:val="center"/>
          </w:tcPr>
          <w:p w14:paraId="19EA1905"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3. </w:t>
            </w:r>
            <w:r>
              <w:rPr>
                <w:rFonts w:ascii="宋体" w:eastAsia="宋体" w:hAnsi="宋体" w:cs="Segoe UI"/>
                <w:color w:val="000000"/>
                <w:kern w:val="0"/>
                <w:sz w:val="20"/>
                <w:szCs w:val="20"/>
                <w:lang w:bidi="ar"/>
              </w:rPr>
              <w:t>团队要求（</w:t>
            </w:r>
            <w:r>
              <w:rPr>
                <w:rFonts w:ascii="宋体" w:eastAsia="宋体" w:hAnsi="宋体" w:cs="Segoe UI"/>
                <w:color w:val="000000"/>
                <w:kern w:val="0"/>
                <w:sz w:val="20"/>
                <w:szCs w:val="20"/>
                <w:lang w:bidi="ar"/>
              </w:rPr>
              <w:t xml:space="preserve">20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2AF3D5BF"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团队要求</w:t>
            </w:r>
          </w:p>
        </w:tc>
        <w:tc>
          <w:tcPr>
            <w:tcW w:w="0" w:type="auto"/>
            <w:shd w:val="clear" w:color="auto" w:fill="FFFFFF"/>
            <w:tcMar>
              <w:top w:w="120" w:type="dxa"/>
              <w:left w:w="180" w:type="dxa"/>
              <w:bottom w:w="120" w:type="dxa"/>
              <w:right w:w="180" w:type="dxa"/>
            </w:tcMar>
            <w:vAlign w:val="center"/>
          </w:tcPr>
          <w:p w14:paraId="0BDCCFF0"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梯队合理、专业基础扎实、责任心强、具备良好的信息技术素养</w:t>
            </w:r>
          </w:p>
        </w:tc>
        <w:tc>
          <w:tcPr>
            <w:tcW w:w="0" w:type="auto"/>
            <w:shd w:val="clear" w:color="auto" w:fill="FFFFFF"/>
            <w:tcMar>
              <w:top w:w="120" w:type="dxa"/>
              <w:left w:w="180" w:type="dxa"/>
              <w:bottom w:w="120" w:type="dxa"/>
              <w:right w:w="180" w:type="dxa"/>
            </w:tcMar>
            <w:vAlign w:val="center"/>
          </w:tcPr>
          <w:p w14:paraId="5F0FCEA5"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 xml:space="preserve">1. </w:t>
            </w:r>
            <w:r>
              <w:rPr>
                <w:rFonts w:ascii="宋体" w:eastAsia="宋体" w:hAnsi="宋体" w:cs="Segoe UI"/>
                <w:color w:val="000000"/>
                <w:kern w:val="0"/>
                <w:sz w:val="20"/>
                <w:szCs w:val="20"/>
                <w:lang w:bidi="ar"/>
              </w:rPr>
              <w:t>团队梯队合理，教师风范、学术水平与教学水平高，课程主持人应为讲师及以上职称，学校骨干教师。专业基础扎实、责任心强、具备良好的信息技术素养，得</w:t>
            </w:r>
            <w:r>
              <w:rPr>
                <w:rFonts w:ascii="宋体" w:eastAsia="宋体" w:hAnsi="宋体" w:cs="Segoe UI"/>
                <w:color w:val="000000"/>
                <w:kern w:val="0"/>
                <w:sz w:val="20"/>
                <w:szCs w:val="20"/>
                <w:lang w:bidi="ar"/>
              </w:rPr>
              <w:t xml:space="preserve"> 14-20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2. </w:t>
            </w:r>
            <w:r>
              <w:rPr>
                <w:rFonts w:ascii="宋体" w:eastAsia="宋体" w:hAnsi="宋体" w:cs="Segoe UI"/>
                <w:color w:val="000000"/>
                <w:kern w:val="0"/>
                <w:sz w:val="20"/>
                <w:szCs w:val="20"/>
                <w:lang w:bidi="ar"/>
              </w:rPr>
              <w:t>团队梯队基本合理，课程主持人为学校教师，主讲教师有讲师职称。专业基础扎实、责任心较强、具备良好的信息技术素养，得</w:t>
            </w:r>
            <w:r>
              <w:rPr>
                <w:rFonts w:ascii="宋体" w:eastAsia="宋体" w:hAnsi="宋体" w:cs="Segoe UI"/>
                <w:color w:val="000000"/>
                <w:kern w:val="0"/>
                <w:sz w:val="20"/>
                <w:szCs w:val="20"/>
                <w:lang w:bidi="ar"/>
              </w:rPr>
              <w:t xml:space="preserve"> 8-13 </w:t>
            </w:r>
            <w:r>
              <w:rPr>
                <w:rFonts w:ascii="宋体" w:eastAsia="宋体" w:hAnsi="宋体" w:cs="Segoe UI"/>
                <w:color w:val="000000"/>
                <w:kern w:val="0"/>
                <w:sz w:val="20"/>
                <w:szCs w:val="20"/>
                <w:lang w:bidi="ar"/>
              </w:rPr>
              <w:t>分。</w:t>
            </w:r>
            <w:r>
              <w:rPr>
                <w:rFonts w:ascii="宋体" w:eastAsia="宋体" w:hAnsi="宋体" w:cs="Segoe UI"/>
                <w:color w:val="000000"/>
                <w:kern w:val="0"/>
                <w:sz w:val="20"/>
                <w:szCs w:val="20"/>
                <w:lang w:bidi="ar"/>
              </w:rPr>
              <w:t xml:space="preserve">3. </w:t>
            </w:r>
            <w:r>
              <w:rPr>
                <w:rFonts w:ascii="宋体" w:eastAsia="宋体" w:hAnsi="宋体" w:cs="Segoe UI"/>
                <w:color w:val="000000"/>
                <w:kern w:val="0"/>
                <w:sz w:val="20"/>
                <w:szCs w:val="20"/>
                <w:lang w:bidi="ar"/>
              </w:rPr>
              <w:t>团队梯队有缺陷，教师风范、学术水平与教学水平低，得</w:t>
            </w:r>
            <w:r>
              <w:rPr>
                <w:rFonts w:ascii="宋体" w:eastAsia="宋体" w:hAnsi="宋体" w:cs="Segoe UI"/>
                <w:color w:val="000000"/>
                <w:kern w:val="0"/>
                <w:sz w:val="20"/>
                <w:szCs w:val="20"/>
                <w:lang w:bidi="ar"/>
              </w:rPr>
              <w:t xml:space="preserve"> 0-7 </w:t>
            </w:r>
            <w:r>
              <w:rPr>
                <w:rFonts w:ascii="宋体" w:eastAsia="宋体" w:hAnsi="宋体" w:cs="Segoe UI"/>
                <w:color w:val="000000"/>
                <w:kern w:val="0"/>
                <w:sz w:val="20"/>
                <w:szCs w:val="20"/>
                <w:lang w:bidi="ar"/>
              </w:rPr>
              <w:t>分。</w:t>
            </w:r>
          </w:p>
        </w:tc>
        <w:tc>
          <w:tcPr>
            <w:tcW w:w="0" w:type="auto"/>
            <w:shd w:val="clear" w:color="auto" w:fill="FFFFFF"/>
            <w:tcMar>
              <w:top w:w="120" w:type="dxa"/>
              <w:left w:w="180" w:type="dxa"/>
              <w:bottom w:w="120" w:type="dxa"/>
              <w:right w:w="180" w:type="dxa"/>
            </w:tcMar>
            <w:vAlign w:val="center"/>
          </w:tcPr>
          <w:p w14:paraId="156C0757" w14:textId="77777777" w:rsidR="00FD29E7" w:rsidRDefault="00FE05CA">
            <w:pPr>
              <w:widowControl/>
              <w:spacing w:line="280" w:lineRule="atLeast"/>
              <w:jc w:val="left"/>
              <w:rPr>
                <w:rFonts w:ascii="宋体" w:eastAsia="宋体" w:hAnsi="宋体" w:cs="Segoe UI"/>
                <w:color w:val="000000"/>
                <w:sz w:val="20"/>
                <w:szCs w:val="20"/>
              </w:rPr>
            </w:pPr>
            <w:r>
              <w:rPr>
                <w:rFonts w:ascii="宋体" w:eastAsia="宋体" w:hAnsi="宋体" w:cs="Segoe UI"/>
                <w:color w:val="000000"/>
                <w:kern w:val="0"/>
                <w:sz w:val="20"/>
                <w:szCs w:val="20"/>
                <w:lang w:bidi="ar"/>
              </w:rPr>
              <w:t>20</w:t>
            </w:r>
          </w:p>
        </w:tc>
      </w:tr>
    </w:tbl>
    <w:p w14:paraId="49E839F2" w14:textId="77777777" w:rsidR="00FD29E7" w:rsidRDefault="00FD29E7"/>
    <w:sectPr w:rsidR="00FD29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02794" w14:textId="77777777" w:rsidR="00FE05CA" w:rsidRDefault="00FE05CA">
      <w:r>
        <w:separator/>
      </w:r>
    </w:p>
  </w:endnote>
  <w:endnote w:type="continuationSeparator" w:id="0">
    <w:p w14:paraId="5BBA30DD" w14:textId="77777777" w:rsidR="00FE05CA" w:rsidRDefault="00FE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896526"/>
      <w:docPartObj>
        <w:docPartGallery w:val="AutoText"/>
      </w:docPartObj>
    </w:sdtPr>
    <w:sdtEndPr/>
    <w:sdtContent>
      <w:p w14:paraId="1E68DE99" w14:textId="77777777" w:rsidR="00FD29E7" w:rsidRDefault="00FE05CA">
        <w:pPr>
          <w:pStyle w:val="a3"/>
          <w:jc w:val="center"/>
        </w:pPr>
        <w:r>
          <w:fldChar w:fldCharType="begin"/>
        </w:r>
        <w:r>
          <w:instrText>PAGE   \* MERGEFORMAT</w:instrText>
        </w:r>
        <w:r>
          <w:fldChar w:fldCharType="separate"/>
        </w:r>
        <w:r w:rsidR="00F459F3" w:rsidRPr="00F459F3">
          <w:rPr>
            <w:noProof/>
            <w:lang w:val="zh-CN"/>
          </w:rPr>
          <w:t>7</w:t>
        </w:r>
        <w:r>
          <w:fldChar w:fldCharType="end"/>
        </w:r>
      </w:p>
    </w:sdtContent>
  </w:sdt>
  <w:p w14:paraId="38221F8B" w14:textId="77777777" w:rsidR="00FD29E7" w:rsidRDefault="00FD29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5C2EA" w14:textId="77777777" w:rsidR="00FE05CA" w:rsidRDefault="00FE05CA">
      <w:r>
        <w:separator/>
      </w:r>
    </w:p>
  </w:footnote>
  <w:footnote w:type="continuationSeparator" w:id="0">
    <w:p w14:paraId="29144D39" w14:textId="77777777" w:rsidR="00FE05CA" w:rsidRDefault="00FE0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9B"/>
    <w:rsid w:val="00024B73"/>
    <w:rsid w:val="00276424"/>
    <w:rsid w:val="00463A5F"/>
    <w:rsid w:val="004972C9"/>
    <w:rsid w:val="00814C1C"/>
    <w:rsid w:val="0085022A"/>
    <w:rsid w:val="00A82B34"/>
    <w:rsid w:val="00B23693"/>
    <w:rsid w:val="00B71754"/>
    <w:rsid w:val="00DF483F"/>
    <w:rsid w:val="00E876D0"/>
    <w:rsid w:val="00EC319B"/>
    <w:rsid w:val="00F459F3"/>
    <w:rsid w:val="00FD29E7"/>
    <w:rsid w:val="00FE05CA"/>
    <w:rsid w:val="1BB935B7"/>
    <w:rsid w:val="2774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834</Words>
  <Characters>4757</Characters>
  <Application>Microsoft Office Word</Application>
  <DocSecurity>0</DocSecurity>
  <Lines>39</Lines>
  <Paragraphs>11</Paragraphs>
  <ScaleCrop>false</ScaleCrop>
  <Company>微软中国</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98579</dc:creator>
  <cp:lastModifiedBy>Administrator</cp:lastModifiedBy>
  <cp:revision>6</cp:revision>
  <dcterms:created xsi:type="dcterms:W3CDTF">2025-10-22T02:15:00Z</dcterms:created>
  <dcterms:modified xsi:type="dcterms:W3CDTF">2025-11-07T10:48:00Z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eyJoZGlkIjoiZjg2MWViMzcyYWE1NGQ2YzJiMWYzNjAwM2NiZWE1MjkiLCJ1c2VySWQiOiIzNzc2MDY3ODUifQ==</vt:lpwstr>
  </property>
  <property fmtid="{D5CDD505-2E9C-101B-9397-08002B2CF9AE}" pid="4" name="ICV">
    <vt:lpwstr>FB8525873865461E9A668A2BD072E4A2_12</vt:lpwstr>
  </property>
</Properties>
</file>